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w:rPr>
          <w:b/>
          <w:sz w:val="24"/>
        </w:rPr>
        <w:t>ГОСУДАРСТВЕННЫЙ КОНТРАКТ № ____</w:t>
      </w:r>
    </w:p>
    <w:p>
      <w:pPr>
        <w:pStyle w:val="Normal"/>
        <w:jc w:val="center"/>
        <w:rPr/>
      </w:pPr>
      <w:r>
        <w:rPr>
          <w:sz w:val="24"/>
        </w:rPr>
        <w:t>на оказание услуг по экстренному вызову наряда полиции на охраняемый объект по сигналу тревога, передаваемому «Заказчиком» путем нажатия кнопки тревожной сигнализации</w:t>
      </w:r>
    </w:p>
    <w:p>
      <w:pPr>
        <w:pStyle w:val="Normal"/>
        <w:ind w:firstLine="709"/>
        <w:jc w:val="center"/>
        <w:rPr>
          <w:sz w:val="24"/>
        </w:rPr>
      </w:pPr>
      <w:r>
        <w:rPr>
          <w:sz w:val="24"/>
        </w:rPr>
      </w:r>
    </w:p>
    <w:p>
      <w:pPr>
        <w:pStyle w:val="Style34"/>
        <w:ind w:hanging="0"/>
        <w:rPr/>
      </w:pPr>
      <w:r>
        <w:rPr>
          <w:sz w:val="24"/>
        </w:rPr>
        <w:t xml:space="preserve">г. Южно-Сахалинск </w:t>
        <w:tab/>
        <w:tab/>
        <w:tab/>
        <w:tab/>
        <w:tab/>
        <w:tab/>
        <w:t xml:space="preserve">   «___»______________ 20___ г.</w:t>
      </w:r>
    </w:p>
    <w:p>
      <w:pPr>
        <w:pStyle w:val="Style34"/>
        <w:ind w:hanging="0"/>
        <w:rPr>
          <w:sz w:val="24"/>
        </w:rPr>
      </w:pPr>
      <w:r>
        <w:rPr>
          <w:sz w:val="24"/>
        </w:rPr>
      </w:r>
    </w:p>
    <w:p>
      <w:pPr>
        <w:pStyle w:val="Normal"/>
        <w:ind w:firstLine="709"/>
        <w:jc w:val="both"/>
        <w:rPr/>
      </w:pPr>
      <w:r>
        <w:rPr>
          <w:b/>
          <w:sz w:val="24"/>
        </w:rPr>
        <w:t>Федеральное государственное казенное учреждение «Отдел вневедомственной охраны войск национальной гвардии  Российской Федерации по Сахалинской области»</w:t>
      </w:r>
      <w:r>
        <w:rPr>
          <w:sz w:val="24"/>
        </w:rPr>
        <w:t xml:space="preserve"> (ФГКУ «ОВО ВНГ России по Сахалинской области»), именуемое в дальнейшем Исполнитель, в лице начальника ______________</w:t>
      </w:r>
      <w:r>
        <w:rPr>
          <w:b/>
          <w:sz w:val="24"/>
        </w:rPr>
        <w:t>,</w:t>
      </w:r>
      <w:r>
        <w:rPr>
          <w:sz w:val="24"/>
        </w:rPr>
        <w:t xml:space="preserve"> действующего на основании Устава, утвержденного приказом Росгвардии от 30.09.2016 г. № 267, с одной стороны, и </w:t>
      </w:r>
      <w:r>
        <w:rPr>
          <w:b w:val="false"/>
          <w:bCs w:val="false"/>
          <w:sz w:val="24"/>
        </w:rPr>
        <w:t>_____________________,</w:t>
      </w:r>
      <w:r>
        <w:rPr>
          <w:sz w:val="24"/>
        </w:rPr>
        <w:t xml:space="preserve"> действующая от имени Российской Федерации, именуемое в дальнейшем Заказчик, в лице _____________________________, действующего на основании ______________________________, с другой стороны, совместно именуемые Стороны, заключили настоящий Государственный контракт о нижеследующем:</w:t>
      </w:r>
    </w:p>
    <w:p>
      <w:pPr>
        <w:pStyle w:val="1"/>
        <w:numPr>
          <w:ilvl w:val="0"/>
          <w:numId w:val="3"/>
        </w:numPr>
        <w:ind w:right="2" w:hanging="0"/>
        <w:jc w:val="center"/>
        <w:rPr/>
      </w:pPr>
      <w:r>
        <w:rPr/>
      </w:r>
    </w:p>
    <w:p>
      <w:pPr>
        <w:pStyle w:val="Normal"/>
        <w:ind w:left="1069" w:right="2" w:hanging="0"/>
        <w:jc w:val="center"/>
        <w:rPr/>
      </w:pPr>
      <w:r>
        <w:rPr>
          <w:b/>
          <w:sz w:val="24"/>
        </w:rPr>
        <w:t>1.  ПРЕДМЕТ ГОСУДАРСТВЕННОГО КОНТРАКТА</w:t>
      </w:r>
    </w:p>
    <w:p>
      <w:pPr>
        <w:pStyle w:val="Normal"/>
        <w:ind w:left="1778" w:hanging="0"/>
        <w:rPr>
          <w:sz w:val="24"/>
        </w:rPr>
      </w:pPr>
      <w:r>
        <w:rPr>
          <w:sz w:val="24"/>
        </w:rPr>
      </w:r>
    </w:p>
    <w:p>
      <w:pPr>
        <w:pStyle w:val="Normal"/>
        <w:numPr>
          <w:ilvl w:val="1"/>
          <w:numId w:val="2"/>
        </w:numPr>
        <w:tabs>
          <w:tab w:val="clear" w:pos="708"/>
          <w:tab w:val="left" w:pos="851" w:leader="none"/>
        </w:tabs>
        <w:ind w:left="0" w:firstLine="709"/>
        <w:jc w:val="both"/>
        <w:rPr/>
      </w:pPr>
      <w:r>
        <w:rPr>
          <w:sz w:val="24"/>
        </w:rPr>
        <w:t xml:space="preserve">Заказчик поручает, а Исполнитель принимает на себя обязательства  осуществлять с помощью пульта централизованного наблюдения (далее – ПЦН) контроль за срабатыванием исправных средств тревожной сигнализации, установленных на объектах (в помещениях) Заказчика (далее – «Объекты»), </w:t>
      </w:r>
      <w:r>
        <w:rPr>
          <w:spacing w:val="1"/>
          <w:sz w:val="24"/>
        </w:rPr>
        <w:t xml:space="preserve"> указанных в </w:t>
      </w:r>
      <w:r>
        <w:rPr>
          <w:b/>
          <w:i/>
          <w:spacing w:val="1"/>
          <w:sz w:val="24"/>
        </w:rPr>
        <w:t>Перечне  платных услуг на объектах, передаваемых  под охрану  ФГКУ «ОВО ВНГ России по Сахалинской области»</w:t>
      </w:r>
      <w:r>
        <w:rPr>
          <w:spacing w:val="1"/>
          <w:sz w:val="24"/>
        </w:rPr>
        <w:t xml:space="preserve"> (Приложение к настоящему государственному контракту</w:t>
      </w:r>
      <w:r>
        <w:rPr>
          <w:spacing w:val="-4"/>
          <w:sz w:val="24"/>
        </w:rPr>
        <w:t xml:space="preserve">) </w:t>
      </w:r>
      <w:r>
        <w:rPr>
          <w:spacing w:val="1"/>
          <w:sz w:val="24"/>
        </w:rPr>
        <w:t xml:space="preserve">и реагировать путем направления  групп задержания Исполнителя (далее по тексту – ГЗ) на тревожные сообщения, поступающие с «Объекта» в период времени охраны. </w:t>
      </w:r>
    </w:p>
    <w:p>
      <w:pPr>
        <w:pStyle w:val="Normal"/>
        <w:tabs>
          <w:tab w:val="clear" w:pos="708"/>
          <w:tab w:val="left" w:pos="851" w:leader="none"/>
        </w:tabs>
        <w:ind w:firstLine="709"/>
        <w:jc w:val="both"/>
        <w:rPr/>
      </w:pPr>
      <w:r>
        <w:rPr>
          <w:sz w:val="24"/>
        </w:rPr>
        <w:t xml:space="preserve">Контроль обеспечивается на ПЦН путем слежения за состоянием средств тревожной сигнализации на «Объекте» с момента сдачи их Заказчиком на ПЦН и до момента снятия с ПЦН, в дни и часы, указанные в </w:t>
      </w:r>
      <w:r>
        <w:rPr>
          <w:spacing w:val="1"/>
          <w:sz w:val="24"/>
        </w:rPr>
        <w:t>«Перечне платных услуг на Объектах, передаваемых под охрану».</w:t>
      </w:r>
    </w:p>
    <w:p>
      <w:pPr>
        <w:pStyle w:val="Normal"/>
        <w:numPr>
          <w:ilvl w:val="1"/>
          <w:numId w:val="2"/>
        </w:numPr>
        <w:tabs>
          <w:tab w:val="clear" w:pos="708"/>
          <w:tab w:val="left" w:pos="851" w:leader="none"/>
        </w:tabs>
        <w:ind w:left="0" w:firstLine="709"/>
        <w:jc w:val="both"/>
        <w:rPr/>
      </w:pPr>
      <w:r>
        <w:rPr>
          <w:sz w:val="24"/>
        </w:rPr>
        <w:t>Заказчик организует техническое обслуживание средств тревожной сигнализации, в соответствии с нормативными требованиями МВД России, Росгвардии путём заключения договора с организацией, имеющей соответствующую лицензию на проведение работ по техническому обслуживанию комплекса, а также организующей  техническое обслуживание этих средств (далее – обслуживающая  организация).</w:t>
      </w:r>
    </w:p>
    <w:p>
      <w:pPr>
        <w:pStyle w:val="Normal"/>
        <w:tabs>
          <w:tab w:val="clear" w:pos="708"/>
          <w:tab w:val="left" w:pos="1051" w:leader="none"/>
        </w:tabs>
        <w:ind w:firstLine="709"/>
        <w:jc w:val="both"/>
        <w:rPr>
          <w:spacing w:val="-5"/>
          <w:sz w:val="24"/>
        </w:rPr>
      </w:pPr>
      <w:r>
        <w:rPr>
          <w:spacing w:val="-5"/>
          <w:sz w:val="24"/>
        </w:rPr>
      </w:r>
    </w:p>
    <w:p>
      <w:pPr>
        <w:pStyle w:val="Normal"/>
        <w:tabs>
          <w:tab w:val="clear" w:pos="708"/>
          <w:tab w:val="left" w:pos="0" w:leader="none"/>
        </w:tabs>
        <w:ind w:left="1069" w:hanging="0"/>
        <w:jc w:val="center"/>
        <w:rPr/>
      </w:pPr>
      <w:r>
        <w:rPr>
          <w:b/>
          <w:spacing w:val="-5"/>
          <w:sz w:val="24"/>
        </w:rPr>
        <w:t xml:space="preserve">2.  </w:t>
      </w:r>
      <w:r>
        <w:rPr>
          <w:b/>
          <w:sz w:val="24"/>
        </w:rPr>
        <w:t>ОБЩИЕ ПОЛОЖЕНИЯ</w:t>
      </w:r>
    </w:p>
    <w:p>
      <w:pPr>
        <w:pStyle w:val="Normal"/>
        <w:ind w:firstLine="709"/>
        <w:jc w:val="center"/>
        <w:rPr>
          <w:b/>
          <w:b/>
          <w:sz w:val="24"/>
        </w:rPr>
      </w:pPr>
      <w:r>
        <w:rPr>
          <w:b/>
          <w:sz w:val="24"/>
        </w:rPr>
      </w:r>
    </w:p>
    <w:p>
      <w:pPr>
        <w:pStyle w:val="Normal"/>
        <w:tabs>
          <w:tab w:val="clear" w:pos="708"/>
          <w:tab w:val="left" w:pos="0" w:leader="none"/>
        </w:tabs>
        <w:ind w:firstLine="709"/>
        <w:jc w:val="both"/>
        <w:rPr/>
      </w:pPr>
      <w:r>
        <w:rPr>
          <w:sz w:val="24"/>
        </w:rPr>
        <w:t>2.1. С учетом особенностей «Объекта», Исполнитель рекомендует, а Заказчик определяет места установки тревожной сигнализации на «Объекте», в соответствии с проектной документацией, согласованной Сторонами. Место установки тревожной сигнализации отражается в «Акте обследования».</w:t>
      </w:r>
    </w:p>
    <w:p>
      <w:pPr>
        <w:pStyle w:val="Normal"/>
        <w:tabs>
          <w:tab w:val="clear" w:pos="708"/>
          <w:tab w:val="left" w:pos="0" w:leader="none"/>
          <w:tab w:val="left" w:pos="993" w:leader="none"/>
        </w:tabs>
        <w:ind w:firstLine="709"/>
        <w:jc w:val="both"/>
        <w:rPr/>
      </w:pPr>
      <w:r>
        <w:rPr>
          <w:sz w:val="24"/>
        </w:rPr>
        <w:t>2.2. Предписания Исполнителя по устранению недостатков, выявленных в техническом состоянии средств тревожной сигнализации, обязательны к исполнению Заказчиком и/или обслуживающей организацией.</w:t>
      </w:r>
    </w:p>
    <w:p>
      <w:pPr>
        <w:pStyle w:val="Normal"/>
        <w:tabs>
          <w:tab w:val="clear" w:pos="708"/>
          <w:tab w:val="left" w:pos="0" w:leader="none"/>
        </w:tabs>
        <w:ind w:firstLine="709"/>
        <w:jc w:val="both"/>
        <w:rPr/>
      </w:pPr>
      <w:r>
        <w:rPr>
          <w:sz w:val="24"/>
        </w:rPr>
        <w:t>2.3. Зоной действия «носимых» кнопок тревожной сигнализации являются помещения Заказчика в пределах границ  «Объекта», если в инструкции по управлению не определено иное.</w:t>
      </w:r>
    </w:p>
    <w:p>
      <w:pPr>
        <w:pStyle w:val="Normal"/>
        <w:tabs>
          <w:tab w:val="clear" w:pos="708"/>
          <w:tab w:val="left" w:pos="0" w:leader="none"/>
        </w:tabs>
        <w:ind w:firstLine="709"/>
        <w:jc w:val="both"/>
        <w:rPr>
          <w:sz w:val="24"/>
        </w:rPr>
      </w:pPr>
      <w:r>
        <w:rPr>
          <w:sz w:val="24"/>
        </w:rPr>
      </w:r>
    </w:p>
    <w:p>
      <w:pPr>
        <w:pStyle w:val="Normal"/>
        <w:tabs>
          <w:tab w:val="clear" w:pos="708"/>
          <w:tab w:val="left" w:pos="0" w:leader="none"/>
        </w:tabs>
        <w:ind w:left="1069" w:right="2" w:hanging="0"/>
        <w:jc w:val="center"/>
        <w:rPr/>
      </w:pPr>
      <w:r>
        <w:rPr>
          <w:b/>
          <w:sz w:val="24"/>
        </w:rPr>
        <w:t>3.  ОБЯЗАННОСТИ СТОРОН</w:t>
      </w:r>
    </w:p>
    <w:p>
      <w:pPr>
        <w:pStyle w:val="Normal"/>
        <w:ind w:firstLine="709"/>
        <w:jc w:val="center"/>
        <w:rPr>
          <w:b/>
          <w:b/>
          <w:sz w:val="24"/>
        </w:rPr>
      </w:pPr>
      <w:r>
        <w:rPr>
          <w:b/>
          <w:sz w:val="24"/>
        </w:rPr>
      </w:r>
    </w:p>
    <w:p>
      <w:pPr>
        <w:pStyle w:val="Normal"/>
        <w:ind w:firstLine="709"/>
        <w:rPr/>
      </w:pPr>
      <w:r>
        <w:rPr>
          <w:b/>
          <w:sz w:val="24"/>
        </w:rPr>
        <w:t>3.1. Обязанности Исполнителя:</w:t>
      </w:r>
    </w:p>
    <w:p>
      <w:pPr>
        <w:pStyle w:val="Normal"/>
        <w:ind w:right="-1" w:firstLine="709"/>
        <w:jc w:val="both"/>
        <w:rPr/>
      </w:pPr>
      <w:r>
        <w:rPr>
          <w:sz w:val="24"/>
        </w:rPr>
        <w:t xml:space="preserve">3.1.1. Осуществлять в установленном порядке прием исправных средств тревожной сигнализации под централизованное наблюдение, в дни и часы, установленные настоящим </w:t>
      </w:r>
      <w:r>
        <w:rPr>
          <w:spacing w:val="1"/>
          <w:sz w:val="24"/>
        </w:rPr>
        <w:t xml:space="preserve">Государственным контрактом </w:t>
      </w:r>
      <w:r>
        <w:rPr>
          <w:sz w:val="24"/>
        </w:rPr>
        <w:t xml:space="preserve">и приложением к нему. </w:t>
      </w:r>
    </w:p>
    <w:p>
      <w:pPr>
        <w:pStyle w:val="Normal"/>
        <w:tabs>
          <w:tab w:val="clear" w:pos="708"/>
          <w:tab w:val="left" w:pos="922" w:leader="none"/>
        </w:tabs>
        <w:ind w:firstLine="709"/>
        <w:jc w:val="both"/>
        <w:rPr/>
      </w:pPr>
      <w:r>
        <w:rPr>
          <w:sz w:val="24"/>
        </w:rPr>
        <w:t>3.1.2. Организовать и обеспечить экстренный выезд ГЗ для проверки причин срабатывания средств тревожной сигнализации и пресечения противоправных действий граждан, при поступлении на ПЦН сигнала тревоги, подаваемого Заказчикомпутем нажатия кнопки тревожной сигнализации либо иными средствами вызова, установленными на охраняемом «Объекте» и подключенными на ПЦН Исполнителя.</w:t>
      </w:r>
    </w:p>
    <w:p>
      <w:pPr>
        <w:pStyle w:val="Normal"/>
        <w:ind w:firstLine="709"/>
        <w:jc w:val="both"/>
        <w:rPr/>
      </w:pPr>
      <w:r>
        <w:rPr>
          <w:spacing w:val="-4"/>
          <w:sz w:val="24"/>
        </w:rPr>
        <w:t>Порядок действия ГЗ при выезде на тревожные сообщения определяется соответствующими нормами действующего законодательства и нормативными правовыми актами МВД России, Росгвардии.</w:t>
      </w:r>
    </w:p>
    <w:p>
      <w:pPr>
        <w:pStyle w:val="Normal"/>
        <w:ind w:firstLine="709"/>
        <w:jc w:val="both"/>
        <w:rPr/>
      </w:pPr>
      <w:r>
        <w:rPr>
          <w:sz w:val="24"/>
        </w:rPr>
        <w:t>3.1.3</w:t>
      </w:r>
      <w:r>
        <w:rPr>
          <w:b/>
          <w:sz w:val="24"/>
        </w:rPr>
        <w:t xml:space="preserve">. </w:t>
      </w:r>
      <w:r>
        <w:rPr>
          <w:sz w:val="24"/>
        </w:rPr>
        <w:t>Обеспечивать прием и регистрацию тревожных сообщений, передаваемых техническими средствами охраны, установленными на охраняемом «Объекте».</w:t>
      </w:r>
    </w:p>
    <w:p>
      <w:pPr>
        <w:pStyle w:val="Normal"/>
        <w:tabs>
          <w:tab w:val="clear" w:pos="708"/>
          <w:tab w:val="left" w:pos="922" w:leader="none"/>
        </w:tabs>
        <w:ind w:firstLine="709"/>
        <w:jc w:val="both"/>
        <w:rPr/>
      </w:pPr>
      <w:r>
        <w:rPr>
          <w:sz w:val="24"/>
        </w:rPr>
        <w:t>3.1.4. После поступления тревожного сообщения о срабатывании средств тревожной сигнализации, ГЗ обязан прибыть на «Объект» в максимально короткие сроки, с учетом наиболее оптимально выбранного маршрута движения.</w:t>
      </w:r>
    </w:p>
    <w:p>
      <w:pPr>
        <w:pStyle w:val="Normal"/>
        <w:tabs>
          <w:tab w:val="clear" w:pos="708"/>
          <w:tab w:val="left" w:pos="922" w:leader="none"/>
        </w:tabs>
        <w:ind w:firstLine="709"/>
        <w:jc w:val="both"/>
        <w:rPr/>
      </w:pPr>
      <w:r>
        <w:rPr>
          <w:sz w:val="24"/>
        </w:rPr>
        <w:t>3.1.5. Осуществлять контроль за технической эксплуатацией и обслуживанием средств тревожной сигнализации. Информировать Заказчика о выявленных недостатках и неисправностях, давать предписания об их устранении.</w:t>
      </w:r>
    </w:p>
    <w:p>
      <w:pPr>
        <w:pStyle w:val="Normal"/>
        <w:tabs>
          <w:tab w:val="clear" w:pos="708"/>
          <w:tab w:val="left" w:pos="922" w:leader="none"/>
        </w:tabs>
        <w:ind w:firstLine="709"/>
        <w:jc w:val="both"/>
        <w:rPr>
          <w:sz w:val="24"/>
        </w:rPr>
      </w:pPr>
      <w:r>
        <w:rPr>
          <w:sz w:val="24"/>
        </w:rPr>
      </w:r>
    </w:p>
    <w:p>
      <w:pPr>
        <w:pStyle w:val="Normal"/>
        <w:tabs>
          <w:tab w:val="clear" w:pos="708"/>
          <w:tab w:val="left" w:pos="1080" w:leader="none"/>
        </w:tabs>
        <w:ind w:firstLine="709"/>
        <w:jc w:val="both"/>
        <w:rPr/>
      </w:pPr>
      <w:r>
        <w:rPr>
          <w:b/>
          <w:sz w:val="24"/>
        </w:rPr>
        <w:t>3.2. Обязанности Заказчика:</w:t>
      </w:r>
    </w:p>
    <w:p>
      <w:pPr>
        <w:pStyle w:val="Normal"/>
        <w:tabs>
          <w:tab w:val="clear" w:pos="708"/>
          <w:tab w:val="left" w:pos="1174" w:leader="none"/>
        </w:tabs>
        <w:ind w:firstLine="709"/>
        <w:jc w:val="both"/>
        <w:rPr/>
      </w:pPr>
      <w:r>
        <w:rPr>
          <w:sz w:val="24"/>
        </w:rPr>
        <w:t>3.2.1. При изменении состава учредителей (участников), организационно-правовой формы, наименования, юридического либо почтового адреса, банковских реквизитов и т.п. незамедлительно уведомить Исполнителя.</w:t>
      </w:r>
    </w:p>
    <w:p>
      <w:pPr>
        <w:pStyle w:val="Normal"/>
        <w:tabs>
          <w:tab w:val="clear" w:pos="708"/>
          <w:tab w:val="left" w:pos="1174" w:leader="none"/>
        </w:tabs>
        <w:ind w:firstLine="709"/>
        <w:jc w:val="both"/>
        <w:rPr/>
      </w:pPr>
      <w:r>
        <w:rPr>
          <w:sz w:val="24"/>
        </w:rPr>
        <w:t>3.2.2. Выполнять определенные «Сторонами» и указанные в «Актах обследования» объекта мероприятия: по технической укрепленности, оборудованию «Объекта» техническими средствами охраны, по соблюдению условий хранения материальных ценностей и т.п.</w:t>
      </w:r>
    </w:p>
    <w:p>
      <w:pPr>
        <w:pStyle w:val="Normal"/>
        <w:tabs>
          <w:tab w:val="clear" w:pos="708"/>
          <w:tab w:val="left" w:pos="1030" w:leader="none"/>
        </w:tabs>
        <w:ind w:firstLine="720"/>
        <w:jc w:val="both"/>
        <w:rPr/>
      </w:pPr>
      <w:r>
        <w:rPr>
          <w:sz w:val="24"/>
        </w:rPr>
        <w:t xml:space="preserve">3.2.3. Определить лиц, ответственных за постановку (сдачу) тревожной сигнализации на ПЦН. </w:t>
      </w:r>
      <w:r>
        <w:rPr>
          <w:spacing w:val="3"/>
          <w:sz w:val="24"/>
        </w:rPr>
        <w:t xml:space="preserve">Предоставить о них Исполнителю в письменной форме сведения, в том числе о служебных, домашних, мобильных </w:t>
      </w:r>
      <w:r>
        <w:rPr>
          <w:spacing w:val="2"/>
          <w:sz w:val="24"/>
        </w:rPr>
        <w:t>номерах телефонов, а также адресах их адресах в течение одного дня с момента заключения настоящего Государственного контракта.</w:t>
      </w:r>
    </w:p>
    <w:p>
      <w:pPr>
        <w:pStyle w:val="Normal"/>
        <w:tabs>
          <w:tab w:val="clear" w:pos="708"/>
          <w:tab w:val="left" w:pos="1030" w:leader="none"/>
        </w:tabs>
        <w:ind w:firstLine="709"/>
        <w:jc w:val="both"/>
        <w:rPr/>
      </w:pPr>
      <w:r>
        <w:rPr>
          <w:spacing w:val="9"/>
          <w:sz w:val="24"/>
        </w:rPr>
        <w:t xml:space="preserve">3.2.4. В </w:t>
      </w:r>
      <w:r>
        <w:rPr>
          <w:spacing w:val="-1"/>
          <w:sz w:val="24"/>
        </w:rPr>
        <w:t>письменной форме, в</w:t>
      </w:r>
      <w:r>
        <w:rPr>
          <w:spacing w:val="9"/>
          <w:sz w:val="24"/>
        </w:rPr>
        <w:t xml:space="preserve"> течение одного дня, </w:t>
      </w:r>
      <w:r>
        <w:rPr>
          <w:spacing w:val="-1"/>
          <w:sz w:val="24"/>
        </w:rPr>
        <w:t xml:space="preserve">уведомлять Исполнителя о произошедших изменениях в указанных в пункте 3.2.3 </w:t>
      </w:r>
      <w:r>
        <w:rPr>
          <w:spacing w:val="-7"/>
          <w:sz w:val="24"/>
        </w:rPr>
        <w:t>данных.</w:t>
      </w:r>
    </w:p>
    <w:p>
      <w:pPr>
        <w:pStyle w:val="Normal"/>
        <w:tabs>
          <w:tab w:val="clear" w:pos="708"/>
          <w:tab w:val="left" w:pos="1030" w:leader="none"/>
        </w:tabs>
        <w:ind w:firstLine="720"/>
        <w:jc w:val="both"/>
        <w:rPr/>
      </w:pPr>
      <w:r>
        <w:rPr>
          <w:sz w:val="24"/>
        </w:rPr>
        <w:t xml:space="preserve">3.2.5. В установленные </w:t>
      </w:r>
      <w:r>
        <w:rPr>
          <w:spacing w:val="1"/>
          <w:sz w:val="24"/>
        </w:rPr>
        <w:t>Государственным контрактом</w:t>
      </w:r>
      <w:r>
        <w:rPr>
          <w:sz w:val="24"/>
        </w:rPr>
        <w:t xml:space="preserve"> дни и часы включать тревожную сигнализацию на «Объекте» и сдавать ее Исполнителю под централизованное наблюдение с обязательной предварительной проверкой ее работоспособности.</w:t>
      </w:r>
    </w:p>
    <w:p>
      <w:pPr>
        <w:pStyle w:val="Normal"/>
        <w:tabs>
          <w:tab w:val="clear" w:pos="708"/>
          <w:tab w:val="left" w:pos="1174" w:leader="none"/>
        </w:tabs>
        <w:ind w:firstLine="709"/>
        <w:jc w:val="both"/>
        <w:rPr/>
      </w:pPr>
      <w:r>
        <w:rPr>
          <w:sz w:val="24"/>
        </w:rPr>
        <w:t>3.2.6. Не реже одного раза, а при круглосуточной охране не реже двух раз в сутки, производить проверку работоспособности тревожной сигнализации путем пробной подачи сигнала «Тревога» с предварительным уведомлением об этом Исполнителя по телефону через ПЦН.</w:t>
      </w:r>
    </w:p>
    <w:p>
      <w:pPr>
        <w:pStyle w:val="Normal"/>
        <w:tabs>
          <w:tab w:val="clear" w:pos="708"/>
          <w:tab w:val="left" w:pos="1174" w:leader="none"/>
        </w:tabs>
        <w:ind w:firstLine="709"/>
        <w:jc w:val="both"/>
        <w:rPr/>
      </w:pPr>
      <w:r>
        <w:rPr>
          <w:sz w:val="24"/>
        </w:rPr>
        <w:t>3.2.7. Не разглашать посторонним лицам правила пользования тревожной сигнализацией и присвоенный условный номер «Объекта».</w:t>
      </w:r>
    </w:p>
    <w:p>
      <w:pPr>
        <w:pStyle w:val="Normal"/>
        <w:tabs>
          <w:tab w:val="clear" w:pos="708"/>
          <w:tab w:val="left" w:pos="943" w:leader="none"/>
        </w:tabs>
        <w:ind w:firstLine="709"/>
        <w:jc w:val="both"/>
        <w:rPr/>
      </w:pPr>
      <w:r>
        <w:rPr>
          <w:sz w:val="24"/>
        </w:rPr>
        <w:t xml:space="preserve">3.2.8. Не допускать к средствам тревожной сигнализации для устранения неисправностей, внесений изменений в схему блокировки «Объекта» посторонних лиц, не производить указанные работы своими силами. </w:t>
      </w:r>
    </w:p>
    <w:p>
      <w:pPr>
        <w:pStyle w:val="Normal"/>
        <w:tabs>
          <w:tab w:val="clear" w:pos="708"/>
          <w:tab w:val="left" w:pos="1080" w:leader="none"/>
        </w:tabs>
        <w:ind w:firstLine="709"/>
        <w:jc w:val="both"/>
        <w:rPr/>
      </w:pPr>
      <w:r>
        <w:rPr>
          <w:sz w:val="24"/>
        </w:rPr>
        <w:t xml:space="preserve">3.2.9. Обеспечить сотрудникам Исполнителя возможность беспрепятственного и незамедлительного доступа на «Объект» в целях выполнения обязательств, по настоящему </w:t>
      </w:r>
      <w:r>
        <w:rPr>
          <w:spacing w:val="1"/>
          <w:sz w:val="24"/>
        </w:rPr>
        <w:t>Государственному контракту</w:t>
      </w:r>
      <w:r>
        <w:rPr>
          <w:sz w:val="24"/>
        </w:rPr>
        <w:t>, сообщить коды (если таковые имеются) запирающих устройств входных дверей в помещения «Объекта».</w:t>
      </w:r>
      <w:r>
        <w:rPr>
          <w:spacing w:val="9"/>
          <w:sz w:val="24"/>
        </w:rPr>
        <w:t xml:space="preserve"> В </w:t>
      </w:r>
      <w:r>
        <w:rPr>
          <w:spacing w:val="-1"/>
          <w:sz w:val="24"/>
        </w:rPr>
        <w:t>письменной форме, в</w:t>
      </w:r>
      <w:r>
        <w:rPr>
          <w:spacing w:val="9"/>
          <w:sz w:val="24"/>
        </w:rPr>
        <w:t xml:space="preserve"> течение одного дня, </w:t>
      </w:r>
      <w:r>
        <w:rPr>
          <w:spacing w:val="-1"/>
          <w:sz w:val="24"/>
        </w:rPr>
        <w:t>уведомлять Исполнителя о</w:t>
      </w:r>
      <w:r>
        <w:rPr>
          <w:sz w:val="24"/>
        </w:rPr>
        <w:t xml:space="preserve"> смене замков и кодов.</w:t>
      </w:r>
    </w:p>
    <w:p>
      <w:pPr>
        <w:pStyle w:val="Normal"/>
        <w:tabs>
          <w:tab w:val="clear" w:pos="708"/>
          <w:tab w:val="left" w:pos="1080" w:leader="none"/>
        </w:tabs>
        <w:ind w:firstLine="709"/>
        <w:jc w:val="both"/>
        <w:rPr/>
      </w:pPr>
      <w:r>
        <w:rPr>
          <w:sz w:val="24"/>
        </w:rPr>
        <w:t>3.2.10. Строго соблюдать правила эксплуатации тревожной сигнализации, не вносить изменения в схему блокировки «Объекта».</w:t>
      </w:r>
    </w:p>
    <w:p>
      <w:pPr>
        <w:pStyle w:val="Normal"/>
        <w:tabs>
          <w:tab w:val="clear" w:pos="708"/>
          <w:tab w:val="left" w:pos="943" w:leader="none"/>
        </w:tabs>
        <w:ind w:firstLine="709"/>
        <w:jc w:val="both"/>
        <w:rPr/>
      </w:pPr>
      <w:r>
        <w:rPr>
          <w:sz w:val="24"/>
        </w:rPr>
        <w:t>Содержать средства тревожной сигнализации на «Объекте» в работоспособном состоянии, по истечении срока эксплуатации производить их замену (предельный срок эксплуатации средств: для приборов – шесть лет, для шлейфов – согласно совместных актов технической эксплуатации технических средств охраны, но не более четырех лет). Дальнейшее использование этих средств разрешается только с письменного согласия Исполнителя.</w:t>
      </w:r>
    </w:p>
    <w:p>
      <w:pPr>
        <w:pStyle w:val="Normal"/>
        <w:tabs>
          <w:tab w:val="clear" w:pos="708"/>
          <w:tab w:val="left" w:pos="1080" w:leader="none"/>
        </w:tabs>
        <w:ind w:firstLine="709"/>
        <w:jc w:val="both"/>
        <w:rPr/>
      </w:pPr>
      <w:r>
        <w:rPr>
          <w:sz w:val="24"/>
        </w:rPr>
        <w:t>3.2.11. Своевременно сообщать Исполнителю о возможных неисправностях технических средств охраны и обеспечивать проведение ремонтных и регламентных работ по техническому обслуживанию средств сигнализации. Обеспечить представителям Исполнителя свободный доступ к средствам тревожной сигнализации.</w:t>
      </w:r>
    </w:p>
    <w:p>
      <w:pPr>
        <w:pStyle w:val="Normal"/>
        <w:tabs>
          <w:tab w:val="clear" w:pos="708"/>
          <w:tab w:val="left" w:pos="1080" w:leader="none"/>
        </w:tabs>
        <w:ind w:firstLine="709"/>
        <w:jc w:val="both"/>
        <w:rPr/>
      </w:pPr>
      <w:r>
        <w:rPr>
          <w:sz w:val="24"/>
        </w:rPr>
        <w:t>3.2.12. При проведении на «Объекте» ремонта, перепланировки, переоборудования помещений, в случаях появления новых или изменения  предыдущих мест хранения ценностей, а также при проведении иных мероприятий, которые могут повлиять на техническое состояние средств охраны, повлечь за собой изменения в их составе и потребовать проведения дополнительных мероприятий по технической  (инженерной) укрепленности объекта, уведомить об этом Исполнителя в письменной форме не позднее, чем за  пятнадцать  дней до таких изменений.</w:t>
      </w:r>
    </w:p>
    <w:p>
      <w:pPr>
        <w:pStyle w:val="Normal"/>
        <w:tabs>
          <w:tab w:val="clear" w:pos="708"/>
          <w:tab w:val="left" w:pos="1080" w:leader="none"/>
        </w:tabs>
        <w:ind w:right="-1" w:firstLine="720"/>
        <w:jc w:val="both"/>
        <w:rPr/>
      </w:pPr>
      <w:r>
        <w:rPr>
          <w:spacing w:val="-5"/>
          <w:sz w:val="24"/>
        </w:rPr>
        <w:t>3.2.13.</w:t>
      </w:r>
      <w:r>
        <w:rPr>
          <w:sz w:val="24"/>
        </w:rPr>
        <w:t xml:space="preserve"> Заключить с обслуживающей организацией </w:t>
      </w:r>
      <w:r>
        <w:rPr>
          <w:spacing w:val="1"/>
          <w:sz w:val="24"/>
        </w:rPr>
        <w:t>Государственный контракт (договор)</w:t>
      </w:r>
      <w:r>
        <w:rPr>
          <w:sz w:val="24"/>
        </w:rPr>
        <w:t xml:space="preserve"> на техническое обслуживание средств тревожной сигнализации, о чем сообщить Исполнителю в письменной форме в течение одного рабочего дня с момента заключения данного </w:t>
      </w:r>
      <w:r>
        <w:rPr>
          <w:spacing w:val="1"/>
          <w:sz w:val="24"/>
        </w:rPr>
        <w:t>Государственного контракта</w:t>
      </w:r>
      <w:r>
        <w:rPr>
          <w:sz w:val="24"/>
        </w:rPr>
        <w:t>.</w:t>
      </w:r>
    </w:p>
    <w:p>
      <w:pPr>
        <w:pStyle w:val="Normal"/>
        <w:tabs>
          <w:tab w:val="clear" w:pos="708"/>
          <w:tab w:val="left" w:pos="1080" w:leader="none"/>
        </w:tabs>
        <w:ind w:right="2" w:firstLine="709"/>
        <w:jc w:val="both"/>
        <w:rPr/>
      </w:pPr>
      <w:r>
        <w:rPr>
          <w:sz w:val="24"/>
        </w:rPr>
        <w:t xml:space="preserve">3.2.14. </w:t>
      </w:r>
      <w:r>
        <w:rPr>
          <w:spacing w:val="1"/>
          <w:sz w:val="24"/>
        </w:rPr>
        <w:t xml:space="preserve">Обеспечить исправность линий телефонной связи и сетей электропитания, к которым </w:t>
      </w:r>
      <w:r>
        <w:rPr>
          <w:spacing w:val="-2"/>
          <w:sz w:val="24"/>
        </w:rPr>
        <w:t>подключены средства тревожной сигнализации.</w:t>
      </w:r>
    </w:p>
    <w:p>
      <w:pPr>
        <w:pStyle w:val="Normal"/>
        <w:tabs>
          <w:tab w:val="clear" w:pos="708"/>
          <w:tab w:val="left" w:pos="1080" w:leader="none"/>
        </w:tabs>
        <w:ind w:firstLine="709"/>
        <w:jc w:val="both"/>
        <w:rPr/>
      </w:pPr>
      <w:r>
        <w:rPr>
          <w:spacing w:val="-2"/>
          <w:sz w:val="24"/>
        </w:rPr>
        <w:t xml:space="preserve">3.2.15. </w:t>
      </w:r>
      <w:r>
        <w:rPr>
          <w:spacing w:val="-5"/>
          <w:sz w:val="24"/>
        </w:rPr>
        <w:t xml:space="preserve">При плановой замене Исполнителем систем передачи извещения (СПИ) на </w:t>
      </w:r>
    </w:p>
    <w:p>
      <w:pPr>
        <w:pStyle w:val="Normal"/>
        <w:tabs>
          <w:tab w:val="clear" w:pos="708"/>
          <w:tab w:val="left" w:pos="1080" w:leader="none"/>
        </w:tabs>
        <w:jc w:val="both"/>
        <w:rPr/>
      </w:pPr>
      <w:r>
        <w:rPr>
          <w:spacing w:val="-5"/>
          <w:sz w:val="24"/>
        </w:rPr>
        <w:t>ПЦН, за свой счет производить замену оконечного устройства на «Объекте».</w:t>
      </w:r>
    </w:p>
    <w:p>
      <w:pPr>
        <w:pStyle w:val="Normal"/>
        <w:tabs>
          <w:tab w:val="clear" w:pos="708"/>
          <w:tab w:val="left" w:pos="1080" w:leader="none"/>
        </w:tabs>
        <w:ind w:firstLine="709"/>
        <w:jc w:val="both"/>
        <w:rPr/>
      </w:pPr>
      <w:r>
        <w:rPr>
          <w:sz w:val="24"/>
        </w:rPr>
        <w:t xml:space="preserve">3.2.16. </w:t>
      </w:r>
      <w:r>
        <w:rPr>
          <w:spacing w:val="5"/>
          <w:sz w:val="24"/>
        </w:rPr>
        <w:t>Своевременно оплачивать услуги, оказываемые Исполнителем</w:t>
      </w:r>
      <w:r>
        <w:rPr>
          <w:sz w:val="24"/>
        </w:rPr>
        <w:t>,</w:t>
      </w:r>
      <w:r>
        <w:rPr>
          <w:spacing w:val="-2"/>
          <w:sz w:val="24"/>
        </w:rPr>
        <w:t xml:space="preserve">согласно условиям настоящего </w:t>
      </w:r>
      <w:r>
        <w:rPr>
          <w:spacing w:val="1"/>
          <w:sz w:val="24"/>
        </w:rPr>
        <w:t>Государственного контракта</w:t>
      </w:r>
      <w:r>
        <w:rPr>
          <w:spacing w:val="-2"/>
          <w:sz w:val="24"/>
        </w:rPr>
        <w:t>.</w:t>
      </w:r>
    </w:p>
    <w:p>
      <w:pPr>
        <w:pStyle w:val="Normal"/>
        <w:tabs>
          <w:tab w:val="clear" w:pos="708"/>
          <w:tab w:val="left" w:pos="1080" w:leader="none"/>
        </w:tabs>
        <w:ind w:firstLine="709"/>
        <w:jc w:val="both"/>
        <w:rPr/>
      </w:pPr>
      <w:r>
        <w:rPr>
          <w:sz w:val="24"/>
        </w:rPr>
        <w:t xml:space="preserve">3.2.17. </w:t>
      </w:r>
      <w:r>
        <w:rPr>
          <w:spacing w:val="-1"/>
          <w:sz w:val="24"/>
        </w:rPr>
        <w:t xml:space="preserve">Информировать </w:t>
      </w:r>
      <w:r>
        <w:rPr>
          <w:spacing w:val="2"/>
          <w:sz w:val="24"/>
        </w:rPr>
        <w:t xml:space="preserve">Исполнителя </w:t>
      </w:r>
      <w:r>
        <w:rPr>
          <w:spacing w:val="-1"/>
          <w:sz w:val="24"/>
        </w:rPr>
        <w:t>о возникновении спора</w:t>
      </w:r>
      <w:r>
        <w:rPr>
          <w:spacing w:val="-3"/>
          <w:sz w:val="24"/>
        </w:rPr>
        <w:t xml:space="preserve"> о праве собственности и управления имуществом, </w:t>
      </w:r>
      <w:r>
        <w:rPr>
          <w:spacing w:val="-1"/>
          <w:sz w:val="24"/>
        </w:rPr>
        <w:t>находящимся во владении Заказчика и являющимся объектом охраны в течение 5 (пяти) календарных дней с момента возникновения спора.</w:t>
      </w:r>
    </w:p>
    <w:p>
      <w:pPr>
        <w:pStyle w:val="Normal"/>
        <w:ind w:left="709" w:firstLine="709"/>
        <w:jc w:val="center"/>
        <w:rPr>
          <w:b/>
          <w:b/>
          <w:sz w:val="24"/>
        </w:rPr>
      </w:pPr>
      <w:r>
        <w:rPr>
          <w:b/>
          <w:sz w:val="24"/>
        </w:rPr>
      </w:r>
    </w:p>
    <w:p>
      <w:pPr>
        <w:pStyle w:val="Normal"/>
        <w:tabs>
          <w:tab w:val="clear" w:pos="708"/>
          <w:tab w:val="left" w:pos="0" w:leader="none"/>
        </w:tabs>
        <w:ind w:left="1069" w:hanging="0"/>
        <w:jc w:val="center"/>
        <w:rPr/>
      </w:pPr>
      <w:r>
        <w:rPr>
          <w:b/>
          <w:sz w:val="24"/>
        </w:rPr>
        <w:t>4.  ОТВЕТСТВЕННОСТЬ СТОРОН</w:t>
      </w:r>
    </w:p>
    <w:p>
      <w:pPr>
        <w:pStyle w:val="Normal"/>
        <w:ind w:left="709" w:firstLine="709"/>
        <w:jc w:val="center"/>
        <w:rPr>
          <w:b/>
          <w:b/>
          <w:sz w:val="24"/>
        </w:rPr>
      </w:pPr>
      <w:r>
        <w:rPr>
          <w:b/>
          <w:sz w:val="24"/>
        </w:rPr>
      </w:r>
    </w:p>
    <w:p>
      <w:pPr>
        <w:pStyle w:val="Normal"/>
        <w:ind w:firstLine="709"/>
        <w:jc w:val="both"/>
        <w:rPr/>
      </w:pPr>
      <w:r>
        <w:rPr>
          <w:sz w:val="24"/>
        </w:rPr>
        <w:t>4.1. Размер штрафа устанавливается контрактом в виде фиксированной суммы, в том числе рассчитываемой как процент цены контракта, или в случае, если контрактом предусмотрены этапы исполнения контракта, как процент этапа исполнения контракта (далее – цена контракта).</w:t>
      </w:r>
    </w:p>
    <w:p>
      <w:pPr>
        <w:pStyle w:val="Normal"/>
        <w:ind w:firstLine="709"/>
        <w:jc w:val="both"/>
        <w:rPr/>
      </w:pPr>
      <w:r>
        <w:rPr>
          <w:sz w:val="24"/>
        </w:rPr>
        <w:t xml:space="preserve">4.2.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виде фиксированной суммы, которая составляет </w:t>
      </w:r>
      <w:r>
        <w:rPr>
          <w:rFonts w:eastAsia="Times New Roman" w:cs="Times New Roman"/>
          <w:color w:val="000000"/>
          <w:kern w:val="0"/>
          <w:sz w:val="24"/>
          <w:szCs w:val="20"/>
          <w:lang w:val="ru-RU" w:eastAsia="ru-RU" w:bidi="ar-SA"/>
        </w:rPr>
        <w:t>_______</w:t>
      </w:r>
      <w:r>
        <w:rPr>
          <w:sz w:val="24"/>
        </w:rPr>
        <w:t xml:space="preserve"> (_____________) рубль ___ копеек и определяется в следующем порядке:</w:t>
      </w:r>
    </w:p>
    <w:p>
      <w:pPr>
        <w:pStyle w:val="Normal"/>
        <w:ind w:firstLine="709"/>
        <w:jc w:val="both"/>
        <w:rPr/>
      </w:pPr>
      <w:r>
        <w:rPr>
          <w:sz w:val="24"/>
        </w:rPr>
        <w:t>а) 10 процентов цены контакта в случае, если цена контракта не превышает 3 млн. рублей;</w:t>
      </w:r>
    </w:p>
    <w:p>
      <w:pPr>
        <w:pStyle w:val="Normal"/>
        <w:ind w:firstLine="709"/>
        <w:jc w:val="both"/>
        <w:rPr/>
      </w:pPr>
      <w:r>
        <w:rPr>
          <w:sz w:val="24"/>
        </w:rPr>
        <w:t>б) 5 процентов цены контракта в случае, если цена контракта составляет от 3 млн. рублей до 50 млн. рублей;</w:t>
      </w:r>
    </w:p>
    <w:p>
      <w:pPr>
        <w:pStyle w:val="Normal"/>
        <w:ind w:firstLine="709"/>
        <w:jc w:val="both"/>
        <w:rPr/>
      </w:pPr>
      <w:r>
        <w:rPr>
          <w:sz w:val="24"/>
        </w:rPr>
        <w:t>в) 1 процент цены контракта в случае, если цена контракта составляет от 50 млн. рублей до 100 млн. рублей;</w:t>
      </w:r>
    </w:p>
    <w:p>
      <w:pPr>
        <w:pStyle w:val="Normal"/>
        <w:ind w:firstLine="709"/>
        <w:jc w:val="both"/>
        <w:rPr/>
      </w:pPr>
      <w:r>
        <w:rPr>
          <w:sz w:val="24"/>
        </w:rPr>
        <w:t>г) 0,5 процента цены контракта в случае, если цена контракта составляет от 100 млн. рублей до 500 млн. рублей;</w:t>
      </w:r>
    </w:p>
    <w:p>
      <w:pPr>
        <w:pStyle w:val="Normal"/>
        <w:ind w:firstLine="709"/>
        <w:jc w:val="both"/>
        <w:rPr/>
      </w:pPr>
      <w:r>
        <w:rPr>
          <w:sz w:val="24"/>
        </w:rPr>
        <w:t>д) 0,4 процента цены контракта в случае, если цена контракта составляет от 500 млн. рублей до 1 млрд. рублей.</w:t>
      </w:r>
    </w:p>
    <w:p>
      <w:pPr>
        <w:pStyle w:val="Normal"/>
        <w:ind w:firstLine="709"/>
        <w:jc w:val="both"/>
        <w:rPr/>
      </w:pPr>
      <w:r>
        <w:rPr>
          <w:sz w:val="24"/>
        </w:rPr>
        <w:t>4.3.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виде фиксированной суммы, определяемой в следующем порядке:</w:t>
      </w:r>
    </w:p>
    <w:p>
      <w:pPr>
        <w:pStyle w:val="Normal"/>
        <w:ind w:firstLine="709"/>
        <w:jc w:val="both"/>
        <w:rPr/>
      </w:pPr>
      <w:r>
        <w:rPr>
          <w:sz w:val="24"/>
        </w:rPr>
        <w:t>а) 1000 рублей, если цена контракта не превышает 3 млн. рублей;</w:t>
      </w:r>
    </w:p>
    <w:p>
      <w:pPr>
        <w:pStyle w:val="Normal"/>
        <w:ind w:firstLine="709"/>
        <w:jc w:val="both"/>
        <w:rPr/>
      </w:pPr>
      <w:r>
        <w:rPr>
          <w:sz w:val="24"/>
        </w:rPr>
        <w:t>б) 5000 рублей, если цена контракта составляет от 3 млн. рублей до 50 млн. рублей;</w:t>
      </w:r>
    </w:p>
    <w:p>
      <w:pPr>
        <w:pStyle w:val="Normal"/>
        <w:ind w:firstLine="709"/>
        <w:jc w:val="both"/>
        <w:rPr/>
      </w:pPr>
      <w:r>
        <w:rPr>
          <w:sz w:val="24"/>
        </w:rPr>
        <w:t>в) 10000 рублей, если цена контракта составляет от 50 млн. рублей до 100 млн. рублей;</w:t>
      </w:r>
    </w:p>
    <w:p>
      <w:pPr>
        <w:pStyle w:val="Normal"/>
        <w:ind w:firstLine="709"/>
        <w:jc w:val="both"/>
        <w:rPr/>
      </w:pPr>
      <w:r>
        <w:rPr>
          <w:sz w:val="24"/>
        </w:rPr>
        <w:t>г) 100000 рублей, если цена контракта превышает 100 млн. рублей.</w:t>
      </w:r>
    </w:p>
    <w:p>
      <w:pPr>
        <w:pStyle w:val="Normal"/>
        <w:ind w:firstLine="709"/>
        <w:jc w:val="both"/>
        <w:rPr/>
      </w:pPr>
      <w:r>
        <w:rPr>
          <w:sz w:val="24"/>
        </w:rPr>
        <w:t>4.4. Пеня начисляется за каждый день просрочки исполнения Исполнителем обязательства, предусмотренного контрактом, в размере одной трехсотой действующей на дату уплаты пени ставки рефинансирования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w:t>
      </w:r>
    </w:p>
    <w:p>
      <w:pPr>
        <w:pStyle w:val="Normal"/>
        <w:ind w:firstLine="709"/>
        <w:jc w:val="both"/>
        <w:rPr/>
      </w:pPr>
      <w:r>
        <w:rPr>
          <w:sz w:val="24"/>
        </w:rPr>
        <w:t>4.5. В случае просрочки исполнения Заказчиком обязательств, предусмотренных контрактом, Исполнитель вправе потребовать уплаты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в размере одной трехсотой действующей на дату уплаты пеней ставки рефинансирования Центрального банка Российской Федерации от не уплаченной в срок суммы.</w:t>
      </w:r>
    </w:p>
    <w:p>
      <w:pPr>
        <w:pStyle w:val="Normal"/>
        <w:ind w:firstLine="709"/>
        <w:jc w:val="both"/>
        <w:rPr/>
      </w:pPr>
      <w:r>
        <w:rPr>
          <w:sz w:val="24"/>
        </w:rPr>
        <w:t>4.6. Общая сумма начисленной неустойки (штрафов, пени) за неисполнение или ненадлежащее исполнение Исполнителем обязательств, предусмотренных контрактом, не может превышать цену контракта.</w:t>
      </w:r>
    </w:p>
    <w:p>
      <w:pPr>
        <w:pStyle w:val="Normal"/>
        <w:ind w:firstLine="709"/>
        <w:jc w:val="both"/>
        <w:rPr/>
      </w:pPr>
      <w:r>
        <w:rPr>
          <w:sz w:val="24"/>
        </w:rPr>
        <w:t>4.7. Общая сумма начисленной неустойки (штрафов, пени) за ненадлежащее исполнение Заказчиком обязательств, предусмотренных контрактом, не может превышать цену контракта.</w:t>
      </w:r>
    </w:p>
    <w:p>
      <w:pPr>
        <w:pStyle w:val="Normal"/>
        <w:ind w:firstLine="709"/>
        <w:jc w:val="both"/>
        <w:rPr/>
      </w:pPr>
      <w:r>
        <w:rPr>
          <w:sz w:val="24"/>
        </w:rPr>
        <w:t xml:space="preserve">4.8. Исполнитель не несет ответственности за ущерб, причиненный Заказчику, так как в силу условий настоящего Государственного контракта, Исполнитель обязан принимать соответствующие меры, относительно пресечения противоправных действий граждан по отношению к имуществу Заказчика, уже после и во время причинения ущерба. </w:t>
      </w:r>
    </w:p>
    <w:p>
      <w:pPr>
        <w:pStyle w:val="Normal"/>
        <w:ind w:firstLine="709"/>
        <w:jc w:val="both"/>
        <w:rPr/>
      </w:pPr>
      <w:r>
        <w:rPr>
          <w:sz w:val="24"/>
        </w:rPr>
        <w:t>4.9. Уплата неустойки и возмещение убытков, связанных с ненадлежащим исполнением Сторонами своих обязательств по настоящему контракту, не освобождает нарушившую условия контракта Сторону от исполнения взятых на себя обязательств.</w:t>
      </w:r>
    </w:p>
    <w:p>
      <w:pPr>
        <w:pStyle w:val="Normal"/>
        <w:ind w:firstLine="709"/>
        <w:jc w:val="both"/>
        <w:rPr/>
      </w:pPr>
      <w:r>
        <w:rPr>
          <w:sz w:val="24"/>
        </w:rPr>
        <w:t>4.10.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pPr>
        <w:pStyle w:val="Normal"/>
        <w:ind w:left="709" w:right="43" w:firstLine="709"/>
        <w:jc w:val="center"/>
        <w:rPr>
          <w:b/>
          <w:b/>
          <w:sz w:val="24"/>
        </w:rPr>
      </w:pPr>
      <w:r>
        <w:rPr>
          <w:b/>
          <w:sz w:val="24"/>
        </w:rPr>
      </w:r>
    </w:p>
    <w:p>
      <w:pPr>
        <w:pStyle w:val="Normal"/>
        <w:tabs>
          <w:tab w:val="clear" w:pos="708"/>
          <w:tab w:val="left" w:pos="0" w:leader="none"/>
        </w:tabs>
        <w:ind w:left="1069" w:right="2" w:hanging="0"/>
        <w:jc w:val="center"/>
        <w:rPr/>
      </w:pPr>
      <w:r>
        <w:rPr>
          <w:b/>
          <w:sz w:val="24"/>
        </w:rPr>
        <w:t>5.  ПОРЯДОК ВЗАИМОРАСЧЕТОВ</w:t>
      </w:r>
    </w:p>
    <w:p>
      <w:pPr>
        <w:pStyle w:val="Normal"/>
        <w:ind w:left="709" w:right="43" w:firstLine="709"/>
        <w:jc w:val="center"/>
        <w:rPr>
          <w:b/>
          <w:b/>
          <w:sz w:val="24"/>
        </w:rPr>
      </w:pPr>
      <w:r>
        <w:rPr>
          <w:b/>
          <w:sz w:val="24"/>
        </w:rPr>
      </w:r>
    </w:p>
    <w:p>
      <w:pPr>
        <w:pStyle w:val="Normal"/>
        <w:ind w:firstLine="700"/>
        <w:jc w:val="both"/>
        <w:rPr/>
      </w:pPr>
      <w:r>
        <w:rPr>
          <w:sz w:val="24"/>
        </w:rPr>
        <w:t>5.1. Стоимость услуг указывается в Приложении к настоящему Государственному контракту и составляет _________________ в месяц, и _________________ рублей 00 копеек за весь период действия Государственного контракта. НДС не облагается.</w:t>
      </w:r>
    </w:p>
    <w:p>
      <w:pPr>
        <w:pStyle w:val="Normal"/>
        <w:tabs>
          <w:tab w:val="clear" w:pos="708"/>
          <w:tab w:val="left" w:pos="1080" w:leader="none"/>
        </w:tabs>
        <w:ind w:firstLine="720"/>
        <w:jc w:val="both"/>
        <w:rPr/>
      </w:pPr>
      <w:r>
        <w:rPr>
          <w:spacing w:val="12"/>
          <w:sz w:val="24"/>
        </w:rPr>
        <w:t>5.2.</w:t>
      </w:r>
      <w:r>
        <w:rPr>
          <w:sz w:val="24"/>
        </w:rPr>
        <w:t xml:space="preserve"> Цена настоящего контракта является твердой на весь период его действия. По соглашению «Сторон» и при наличии соответствующего предложения Заказчика, объем оказываемых услуг, предусмотренный Государственным контрактом, может быть увеличен либо уменьшен, но не более чем на десять процентов. При этом по соглашению «Сторон» допускается изменение с учетом положений бюджетного законодательства Российской Федерации цены Государственного контракта пропорционально дополнительному объему услуг, но не более чем на десять процентов цены Государственного контракта. При уменьшении предусмотренного Государственным контрактом объема услуг Стороны обязаны уменьшить цену Государственного контракта исходя из единицы услуги.</w:t>
      </w:r>
    </w:p>
    <w:p>
      <w:pPr>
        <w:pStyle w:val="Normal"/>
        <w:tabs>
          <w:tab w:val="clear" w:pos="708"/>
          <w:tab w:val="left" w:pos="1080" w:leader="none"/>
        </w:tabs>
        <w:ind w:firstLine="720"/>
        <w:jc w:val="both"/>
        <w:rPr/>
      </w:pPr>
      <w:r>
        <w:rPr>
          <w:spacing w:val="12"/>
          <w:sz w:val="24"/>
        </w:rPr>
        <w:t xml:space="preserve">5.3. Оплата Исполнителю производится (перечисляется) Заказчиком ежемесячно </w:t>
      </w:r>
      <w:r>
        <w:rPr>
          <w:spacing w:val="5"/>
          <w:sz w:val="24"/>
        </w:rPr>
        <w:t xml:space="preserve">на основании выставленных </w:t>
      </w:r>
      <w:r>
        <w:rPr>
          <w:spacing w:val="12"/>
          <w:sz w:val="24"/>
        </w:rPr>
        <w:t>Исполнителем счетов.</w:t>
      </w:r>
    </w:p>
    <w:p>
      <w:pPr>
        <w:pStyle w:val="Normal"/>
        <w:ind w:firstLine="709"/>
        <w:jc w:val="both"/>
        <w:rPr/>
      </w:pPr>
      <w:r>
        <w:rPr>
          <w:sz w:val="24"/>
        </w:rPr>
        <w:t xml:space="preserve">5.4. Оплата за оказанные </w:t>
      </w:r>
      <w:r>
        <w:rPr>
          <w:spacing w:val="12"/>
          <w:sz w:val="24"/>
        </w:rPr>
        <w:t xml:space="preserve">Исполнителем услуги по настоящему контракту производится (перечисляется) Заказчиком ежемесячно путем перечисления денежных средств на расчетный счет Исполнителя в течение 10 (десять) банковских дней с даты подписания без разногласий акта оказанных услуг, на основании счета-фактуры. </w:t>
      </w:r>
      <w:r>
        <w:rPr>
          <w:spacing w:val="5"/>
          <w:sz w:val="24"/>
        </w:rPr>
        <w:t xml:space="preserve">Фактом оплаты </w:t>
      </w:r>
      <w:r>
        <w:rPr>
          <w:spacing w:val="-1"/>
          <w:sz w:val="24"/>
        </w:rPr>
        <w:t>признается поступление денежных средств на расчетный счет Исполнителя, открытый в установленном законодательством Российской Федерации порядке.</w:t>
      </w:r>
    </w:p>
    <w:p>
      <w:pPr>
        <w:pStyle w:val="Normal"/>
        <w:tabs>
          <w:tab w:val="clear" w:pos="708"/>
          <w:tab w:val="left" w:pos="1080" w:leader="none"/>
        </w:tabs>
        <w:ind w:firstLine="709"/>
        <w:jc w:val="both"/>
        <w:rPr/>
      </w:pPr>
      <w:r>
        <w:rPr>
          <w:spacing w:val="-9"/>
          <w:sz w:val="24"/>
        </w:rPr>
        <w:t xml:space="preserve">5.5.  </w:t>
      </w:r>
      <w:r>
        <w:rPr>
          <w:spacing w:val="1"/>
          <w:sz w:val="24"/>
        </w:rPr>
        <w:t xml:space="preserve">В случае досрочного расторжения настоящего Государственного контракта, «Сторонами» проводятся </w:t>
      </w:r>
      <w:r>
        <w:rPr>
          <w:spacing w:val="5"/>
          <w:sz w:val="24"/>
        </w:rPr>
        <w:t xml:space="preserve">взаиморасчеты, исходя из стоимости фактически оказанных услуг на момент расторжения </w:t>
      </w:r>
      <w:r>
        <w:rPr>
          <w:spacing w:val="1"/>
          <w:sz w:val="24"/>
        </w:rPr>
        <w:t>Государственного контракта</w:t>
      </w:r>
      <w:r>
        <w:rPr>
          <w:spacing w:val="-4"/>
          <w:sz w:val="24"/>
        </w:rPr>
        <w:t>.</w:t>
      </w:r>
    </w:p>
    <w:p>
      <w:pPr>
        <w:pStyle w:val="Normal"/>
        <w:tabs>
          <w:tab w:val="clear" w:pos="708"/>
          <w:tab w:val="left" w:pos="1080" w:leader="none"/>
        </w:tabs>
        <w:ind w:firstLine="709"/>
        <w:jc w:val="both"/>
        <w:rPr/>
      </w:pPr>
      <w:r>
        <w:rPr>
          <w:spacing w:val="1"/>
          <w:sz w:val="24"/>
        </w:rPr>
        <w:t>5.6. Источник финансирования — Федеральный бюджет.</w:t>
      </w:r>
    </w:p>
    <w:p>
      <w:pPr>
        <w:pStyle w:val="Normal"/>
        <w:tabs>
          <w:tab w:val="clear" w:pos="708"/>
          <w:tab w:val="left" w:pos="1080" w:leader="none"/>
        </w:tabs>
        <w:ind w:firstLine="720"/>
        <w:jc w:val="both"/>
        <w:rPr>
          <w:spacing w:val="1"/>
          <w:sz w:val="24"/>
        </w:rPr>
      </w:pPr>
      <w:r>
        <w:rPr>
          <w:spacing w:val="1"/>
          <w:sz w:val="24"/>
        </w:rPr>
      </w:r>
    </w:p>
    <w:p>
      <w:pPr>
        <w:pStyle w:val="Normal"/>
        <w:tabs>
          <w:tab w:val="clear" w:pos="708"/>
          <w:tab w:val="left" w:pos="0" w:leader="none"/>
        </w:tabs>
        <w:ind w:left="1069" w:hanging="0"/>
        <w:jc w:val="center"/>
        <w:rPr/>
      </w:pPr>
      <w:r>
        <w:rPr>
          <w:b/>
          <w:sz w:val="24"/>
        </w:rPr>
        <w:t>6. ФОРС-МАЖОР</w:t>
      </w:r>
    </w:p>
    <w:p>
      <w:pPr>
        <w:pStyle w:val="Normal"/>
        <w:tabs>
          <w:tab w:val="clear" w:pos="708"/>
          <w:tab w:val="center" w:pos="917" w:leader="none"/>
        </w:tabs>
        <w:ind w:firstLine="709"/>
        <w:jc w:val="center"/>
        <w:rPr>
          <w:b/>
          <w:b/>
          <w:sz w:val="24"/>
        </w:rPr>
      </w:pPr>
      <w:r>
        <w:rPr>
          <w:b/>
          <w:sz w:val="24"/>
        </w:rPr>
      </w:r>
    </w:p>
    <w:p>
      <w:pPr>
        <w:pStyle w:val="Normal"/>
        <w:tabs>
          <w:tab w:val="clear" w:pos="708"/>
          <w:tab w:val="left" w:pos="1080" w:leader="none"/>
        </w:tabs>
        <w:ind w:firstLine="709"/>
        <w:jc w:val="both"/>
        <w:rPr/>
      </w:pPr>
      <w:r>
        <w:rPr>
          <w:spacing w:val="-9"/>
          <w:sz w:val="24"/>
        </w:rPr>
        <w:t xml:space="preserve">6.1. </w:t>
      </w:r>
      <w:r>
        <w:rPr>
          <w:sz w:val="24"/>
        </w:rPr>
        <w:t xml:space="preserve">Наличие форс-мажорных обстоятельств (обстоятельств непреодолимой силы, непредвиденных, неконтролируемых, непредсказуемых, делающих исполнение условий настоящего </w:t>
      </w:r>
      <w:r>
        <w:rPr>
          <w:spacing w:val="1"/>
          <w:sz w:val="24"/>
        </w:rPr>
        <w:t>Государственного контракта</w:t>
      </w:r>
      <w:r>
        <w:rPr>
          <w:sz w:val="24"/>
        </w:rPr>
        <w:t xml:space="preserve"> невозможными, а именно: природных (стихийных) явлений, некоторых обстоятельств общественной жизни (военные действия), в которых непосредственно либо косвенно участвует сторона по настоящему </w:t>
      </w:r>
      <w:r>
        <w:rPr>
          <w:spacing w:val="1"/>
          <w:sz w:val="24"/>
        </w:rPr>
        <w:t>Государственному контракту</w:t>
      </w:r>
      <w:r>
        <w:rPr>
          <w:sz w:val="24"/>
        </w:rPr>
        <w:t xml:space="preserve">, изменений в текущем законодательстве или других независящих от сторон обстоятельств), возникших после заключения «Сторонами»  настоящего </w:t>
      </w:r>
      <w:r>
        <w:rPr>
          <w:spacing w:val="1"/>
          <w:sz w:val="24"/>
        </w:rPr>
        <w:t>Государственного контракта</w:t>
      </w:r>
      <w:r>
        <w:rPr>
          <w:sz w:val="24"/>
        </w:rPr>
        <w:t xml:space="preserve">, либо вытекающих из существа </w:t>
      </w:r>
      <w:r>
        <w:rPr>
          <w:spacing w:val="1"/>
          <w:sz w:val="24"/>
        </w:rPr>
        <w:t>Государственного контракта</w:t>
      </w:r>
      <w:r>
        <w:rPr>
          <w:sz w:val="24"/>
        </w:rPr>
        <w:t xml:space="preserve">, равно как и в ходе выполнения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взятых обязательств по настоящему </w:t>
      </w:r>
      <w:r>
        <w:rPr>
          <w:spacing w:val="1"/>
          <w:sz w:val="24"/>
        </w:rPr>
        <w:t>Государственному контракту</w:t>
      </w:r>
      <w:r>
        <w:rPr>
          <w:sz w:val="24"/>
        </w:rPr>
        <w:t xml:space="preserve">. </w:t>
      </w:r>
    </w:p>
    <w:p>
      <w:pPr>
        <w:pStyle w:val="Style34"/>
        <w:tabs>
          <w:tab w:val="clear" w:pos="708"/>
          <w:tab w:val="left" w:pos="917" w:leader="none"/>
        </w:tabs>
        <w:rPr/>
      </w:pPr>
      <w:r>
        <w:rPr>
          <w:spacing w:val="-8"/>
          <w:sz w:val="24"/>
        </w:rPr>
        <w:t xml:space="preserve">6.2. «Сторона», для которой выполнение обязательств по настоящему </w:t>
      </w:r>
      <w:r>
        <w:rPr>
          <w:spacing w:val="1"/>
          <w:sz w:val="24"/>
        </w:rPr>
        <w:t>Государственному контракту</w:t>
      </w:r>
      <w:r>
        <w:rPr>
          <w:spacing w:val="-8"/>
          <w:sz w:val="24"/>
        </w:rPr>
        <w:t xml:space="preserve"> стало невозможным вследствие наступления обстоятельств непреодолимой силы, должна информировать другую «Сторону» о наступлении таких обстоятельств в течение трех дней.</w:t>
      </w:r>
    </w:p>
    <w:p>
      <w:pPr>
        <w:pStyle w:val="Style34"/>
        <w:tabs>
          <w:tab w:val="clear" w:pos="708"/>
          <w:tab w:val="left" w:pos="0" w:leader="none"/>
        </w:tabs>
        <w:ind w:hanging="0"/>
        <w:rPr>
          <w:spacing w:val="-8"/>
          <w:sz w:val="24"/>
        </w:rPr>
      </w:pPr>
      <w:r>
        <w:rPr>
          <w:spacing w:val="-8"/>
          <w:sz w:val="24"/>
        </w:rPr>
      </w:r>
    </w:p>
    <w:p>
      <w:pPr>
        <w:pStyle w:val="Normal"/>
        <w:tabs>
          <w:tab w:val="clear" w:pos="708"/>
          <w:tab w:val="left" w:pos="0" w:leader="none"/>
        </w:tabs>
        <w:ind w:left="1069" w:hanging="0"/>
        <w:jc w:val="center"/>
        <w:rPr/>
      </w:pPr>
      <w:r>
        <w:rPr>
          <w:b/>
          <w:spacing w:val="-8"/>
          <w:sz w:val="24"/>
        </w:rPr>
        <w:t xml:space="preserve">7.  </w:t>
      </w:r>
      <w:r>
        <w:rPr>
          <w:b/>
          <w:sz w:val="24"/>
        </w:rPr>
        <w:t xml:space="preserve">ДЕЙСТВИЕ </w:t>
      </w:r>
      <w:r>
        <w:rPr>
          <w:b/>
          <w:spacing w:val="1"/>
          <w:sz w:val="24"/>
        </w:rPr>
        <w:t xml:space="preserve">ГОСУДАРСТВЕННОГО КОНТРАКТА </w:t>
      </w:r>
      <w:r>
        <w:rPr>
          <w:b/>
          <w:sz w:val="24"/>
        </w:rPr>
        <w:t>И ПОРЯДОК ЕГО РАСТОРЖЕНИЯ</w:t>
      </w:r>
    </w:p>
    <w:p>
      <w:pPr>
        <w:pStyle w:val="Normal"/>
        <w:tabs>
          <w:tab w:val="clear" w:pos="708"/>
          <w:tab w:val="left" w:pos="917" w:leader="none"/>
        </w:tabs>
        <w:ind w:left="709" w:firstLine="709"/>
        <w:jc w:val="center"/>
        <w:rPr>
          <w:b/>
          <w:b/>
          <w:sz w:val="24"/>
        </w:rPr>
      </w:pPr>
      <w:r>
        <w:rPr>
          <w:b/>
          <w:sz w:val="24"/>
        </w:rPr>
      </w:r>
    </w:p>
    <w:p>
      <w:pPr>
        <w:pStyle w:val="Normal"/>
        <w:tabs>
          <w:tab w:val="clear" w:pos="708"/>
          <w:tab w:val="left" w:pos="490" w:leader="none"/>
        </w:tabs>
        <w:ind w:firstLine="709"/>
        <w:jc w:val="both"/>
        <w:rPr/>
      </w:pPr>
      <w:r>
        <w:rPr>
          <w:sz w:val="24"/>
        </w:rPr>
        <w:t>7.1. Настоящий Государственный контракт вступает в силу с момента его подписания, распространяет свое действие на правоотношения Сторон, возникшие с ________________________.</w:t>
      </w:r>
    </w:p>
    <w:p>
      <w:pPr>
        <w:pStyle w:val="BodyTextIndent2"/>
        <w:tabs>
          <w:tab w:val="left" w:pos="540" w:leader="none"/>
          <w:tab w:val="left" w:pos="1080" w:leader="none"/>
          <w:tab w:val="left" w:pos="9072" w:leader="none"/>
        </w:tabs>
        <w:rPr/>
      </w:pPr>
      <w:r>
        <w:rPr>
          <w:sz w:val="24"/>
        </w:rPr>
        <w:t xml:space="preserve">7.2. Государственный контракт может быть изменен только в случаях, предусмотренных действующим законодательством. Любые изменения и дополнения к настоящему Государственному контракту имеют силу только при условии их оформления в письменном виде и подписания Сторонами. </w:t>
      </w:r>
    </w:p>
    <w:p>
      <w:pPr>
        <w:pStyle w:val="Normal"/>
        <w:tabs>
          <w:tab w:val="clear" w:pos="708"/>
          <w:tab w:val="left" w:pos="2160" w:leader="none"/>
          <w:tab w:val="left" w:pos="8280" w:leader="none"/>
        </w:tabs>
        <w:ind w:firstLine="709"/>
        <w:jc w:val="both"/>
        <w:rPr/>
      </w:pPr>
      <w:r>
        <w:rPr>
          <w:sz w:val="24"/>
        </w:rPr>
        <w:t>7.3. Расторжение Государственного контракта влечёт за собой прекращение обязательств Сторон по нему, но не освобождает от ответственности за неисполнение  обязательств, которые имели место до расторжения Государственного контракта.</w:t>
      </w:r>
    </w:p>
    <w:p>
      <w:pPr>
        <w:pStyle w:val="Normal"/>
        <w:ind w:firstLine="709"/>
        <w:jc w:val="both"/>
        <w:rPr/>
      </w:pPr>
      <w:r>
        <w:rPr>
          <w:sz w:val="24"/>
        </w:rPr>
        <w:t xml:space="preserve">7.4. </w:t>
      </w:r>
      <w:bookmarkStart w:id="0" w:name="Par1591"/>
      <w:bookmarkEnd w:id="0"/>
      <w:r>
        <w:rPr>
          <w:sz w:val="24"/>
        </w:rPr>
        <w:t>Сторона, решившая расторгнуть настоящий Государственный контракт, должна направить соответствующее письменное уведомление другой Стороне не позднее, чем за 10 (десять) дней до предполагаемого дня расторжения.</w:t>
      </w:r>
    </w:p>
    <w:p>
      <w:pPr>
        <w:pStyle w:val="Normal"/>
        <w:ind w:firstLine="709"/>
        <w:jc w:val="both"/>
        <w:rPr/>
      </w:pPr>
      <w:r>
        <w:rPr>
          <w:sz w:val="24"/>
        </w:rPr>
        <w:t xml:space="preserve">7.5. </w:t>
      </w:r>
      <w:bookmarkStart w:id="1" w:name="Par1592"/>
      <w:bookmarkEnd w:id="1"/>
      <w:r>
        <w:rPr>
          <w:sz w:val="24"/>
        </w:rPr>
        <w:t>Расторжение Государственного контракта допускается по соглашению сторон, по решению суда, в случае одностороннего отказа стороны Государственного контракта от исполнения в соответствии с гражданским законодательством.</w:t>
      </w:r>
    </w:p>
    <w:p>
      <w:pPr>
        <w:pStyle w:val="Normal"/>
        <w:ind w:firstLine="709"/>
        <w:jc w:val="both"/>
        <w:rPr/>
      </w:pPr>
      <w:r>
        <w:rPr>
          <w:sz w:val="24"/>
        </w:rPr>
        <w:t xml:space="preserve">7.6. Заказчик вправе принять решение об одностороннем отказе от исполнения Государственного контракта в соответствии с гражданским законодательством. </w:t>
      </w:r>
      <w:bookmarkStart w:id="2" w:name="Par1593"/>
      <w:bookmarkEnd w:id="2"/>
    </w:p>
    <w:p>
      <w:pPr>
        <w:pStyle w:val="Normal"/>
        <w:ind w:firstLine="709"/>
        <w:jc w:val="both"/>
        <w:rPr/>
      </w:pPr>
      <w:r>
        <w:rPr>
          <w:sz w:val="24"/>
        </w:rPr>
        <w:t>7.7. Решение Заказчика об одностороннем отказе от исполнения Государственного контракта вступает в силу и контракт считается расторгнутым через десять дней с даты надлежащего уведомления Заказчиком Исполнителя, об одностороннем отказе от исполнения контракта.</w:t>
      </w:r>
    </w:p>
    <w:p>
      <w:pPr>
        <w:pStyle w:val="Normal"/>
        <w:ind w:firstLine="709"/>
        <w:jc w:val="both"/>
        <w:rPr/>
      </w:pPr>
      <w:r>
        <w:rPr>
          <w:sz w:val="24"/>
        </w:rPr>
        <w:t>7.8. Государственный контракт считается расторгнутым с момента подписания Сторонами соглашения о его расторжении, при условии урегулирования материальных и финансовых претензий по выполненным до момента расторжения контракта обязательствам, или вступления в законную силу вынесенного в установленном порядке решения суда.</w:t>
      </w:r>
    </w:p>
    <w:p>
      <w:pPr>
        <w:pStyle w:val="Normal"/>
        <w:ind w:firstLine="709"/>
        <w:jc w:val="both"/>
        <w:rPr/>
      </w:pPr>
      <w:r>
        <w:rPr>
          <w:sz w:val="24"/>
        </w:rPr>
        <w:t>7.9. Окончание срока действия настоящего Государственного контракта не влечет за собой прекращение обязательств Сторон по нему при неисполнении Сторонами обязательств по настоящему контракту и не освобождает Стороны от ответственности за его нарушения, если таковые имели место при исполнении условий настоящего Государственного контракта.</w:t>
      </w:r>
    </w:p>
    <w:p>
      <w:pPr>
        <w:pStyle w:val="Normal"/>
        <w:ind w:firstLine="709"/>
        <w:jc w:val="both"/>
        <w:rPr/>
      </w:pPr>
      <w:r>
        <w:rPr>
          <w:sz w:val="24"/>
        </w:rPr>
        <w:t>7.10. Допускается изменение по соглашению сторон условий контракта, в порядке, установленном действующим законодательством Российской Федерации. При этом Заказчик в ходе исполнения контракта обеспечивает согласование с Исполнителем новых условий контракта. Существенные условия настоящего Государственного контракта могут быть изменены в случаях, предусмотренных частью 1 статьи 95 Федерального закона от 05.04.2013 № 44-ФЗ «О контрактной системе в сфере закупок товаров, работ, услуг для обеспечения государственных и муниципальных нужд».</w:t>
      </w:r>
    </w:p>
    <w:p>
      <w:pPr>
        <w:pStyle w:val="Normal"/>
        <w:tabs>
          <w:tab w:val="clear" w:pos="708"/>
          <w:tab w:val="left" w:pos="2160" w:leader="none"/>
          <w:tab w:val="left" w:pos="8280" w:leader="none"/>
        </w:tabs>
        <w:ind w:firstLine="709"/>
        <w:jc w:val="both"/>
        <w:rPr/>
      </w:pPr>
      <w:r>
        <w:rPr>
          <w:sz w:val="24"/>
        </w:rPr>
        <w:t>7.11</w:t>
      </w:r>
      <w:r>
        <w:rPr>
          <w:spacing w:val="-1"/>
          <w:sz w:val="24"/>
        </w:rPr>
        <w:t xml:space="preserve"> Исполнитель приостанавливает действие </w:t>
      </w:r>
      <w:r>
        <w:rPr>
          <w:spacing w:val="1"/>
          <w:sz w:val="24"/>
        </w:rPr>
        <w:t xml:space="preserve">Государственного контракта </w:t>
      </w:r>
      <w:r>
        <w:rPr>
          <w:spacing w:val="-1"/>
          <w:sz w:val="24"/>
        </w:rPr>
        <w:t xml:space="preserve"> в одностороннем порядке с уведомлением </w:t>
      </w:r>
      <w:r>
        <w:rPr>
          <w:spacing w:val="-5"/>
          <w:sz w:val="24"/>
        </w:rPr>
        <w:t xml:space="preserve">Заказчика за три дня, в </w:t>
      </w:r>
      <w:r>
        <w:rPr>
          <w:spacing w:val="-3"/>
          <w:sz w:val="24"/>
        </w:rPr>
        <w:t>случае получения информации о возникновении спора о праве собственности, управлении, владении  имуществом,</w:t>
      </w:r>
      <w:r>
        <w:rPr>
          <w:spacing w:val="-1"/>
          <w:sz w:val="24"/>
        </w:rPr>
        <w:t xml:space="preserve"> являющимся  «Объектом» охраны, либо иного имущества  расположенного на территории (в помещении) охраняемого «Объекта», до момента </w:t>
      </w:r>
      <w:r>
        <w:rPr>
          <w:spacing w:val="-5"/>
          <w:sz w:val="24"/>
        </w:rPr>
        <w:t>разрешения спора в предусмотренном законодательством  Российской  Федерации порядке.</w:t>
      </w:r>
    </w:p>
    <w:p>
      <w:pPr>
        <w:pStyle w:val="Normal"/>
        <w:tabs>
          <w:tab w:val="clear" w:pos="708"/>
          <w:tab w:val="left" w:pos="1003" w:leader="none"/>
        </w:tabs>
        <w:ind w:firstLine="709"/>
        <w:jc w:val="center"/>
        <w:rPr>
          <w:sz w:val="24"/>
        </w:rPr>
      </w:pPr>
      <w:r>
        <w:rPr>
          <w:sz w:val="24"/>
        </w:rPr>
      </w:r>
    </w:p>
    <w:p>
      <w:pPr>
        <w:pStyle w:val="Normal"/>
        <w:tabs>
          <w:tab w:val="clear" w:pos="708"/>
          <w:tab w:val="left" w:pos="0" w:leader="none"/>
        </w:tabs>
        <w:ind w:left="1069" w:hanging="0"/>
        <w:jc w:val="center"/>
        <w:rPr/>
      </w:pPr>
      <w:r>
        <w:rPr>
          <w:b/>
          <w:sz w:val="24"/>
        </w:rPr>
        <w:t>8.   ПРОЧИЕ УСЛОВИЯ</w:t>
      </w:r>
    </w:p>
    <w:p>
      <w:pPr>
        <w:pStyle w:val="Normal"/>
        <w:tabs>
          <w:tab w:val="clear" w:pos="708"/>
          <w:tab w:val="left" w:pos="917" w:leader="none"/>
        </w:tabs>
        <w:ind w:left="709" w:firstLine="709"/>
        <w:jc w:val="center"/>
        <w:rPr>
          <w:b/>
          <w:b/>
          <w:sz w:val="24"/>
        </w:rPr>
      </w:pPr>
      <w:r>
        <w:rPr>
          <w:b/>
          <w:sz w:val="24"/>
        </w:rPr>
      </w:r>
    </w:p>
    <w:p>
      <w:pPr>
        <w:pStyle w:val="Normal"/>
        <w:ind w:firstLine="709"/>
        <w:jc w:val="both"/>
        <w:rPr/>
      </w:pPr>
      <w:r>
        <w:rPr>
          <w:sz w:val="24"/>
        </w:rPr>
        <w:t xml:space="preserve">8.1. </w:t>
      </w:r>
      <w:r>
        <w:rPr>
          <w:spacing w:val="2"/>
          <w:sz w:val="24"/>
        </w:rPr>
        <w:t xml:space="preserve">Все споры по настоящему </w:t>
      </w:r>
      <w:r>
        <w:rPr>
          <w:spacing w:val="1"/>
          <w:sz w:val="24"/>
        </w:rPr>
        <w:t>Государственному контракту</w:t>
      </w:r>
      <w:r>
        <w:rPr>
          <w:spacing w:val="2"/>
          <w:sz w:val="24"/>
        </w:rPr>
        <w:t xml:space="preserve"> должны решаться Сторонами путем переговоров, а в </w:t>
      </w:r>
      <w:r>
        <w:rPr>
          <w:spacing w:val="-5"/>
          <w:sz w:val="24"/>
        </w:rPr>
        <w:t>случае невозможности достичь соглашения - в установленном законодательством Российской Федерации порядке.</w:t>
      </w:r>
    </w:p>
    <w:p>
      <w:pPr>
        <w:pStyle w:val="Normal"/>
        <w:ind w:firstLine="709"/>
        <w:jc w:val="both"/>
        <w:rPr/>
      </w:pPr>
      <w:r>
        <w:rPr>
          <w:sz w:val="24"/>
        </w:rPr>
        <w:t xml:space="preserve">8.2. По всем вопросам, неурегулированным настоящим </w:t>
      </w:r>
      <w:r>
        <w:rPr>
          <w:spacing w:val="1"/>
          <w:sz w:val="24"/>
        </w:rPr>
        <w:t>Государственным контрактом</w:t>
      </w:r>
      <w:r>
        <w:rPr>
          <w:sz w:val="24"/>
        </w:rPr>
        <w:t>, Стороны договорились руководствоваться действующим законодательством Российской Федерации.</w:t>
      </w:r>
    </w:p>
    <w:p>
      <w:pPr>
        <w:pStyle w:val="Normal"/>
        <w:ind w:firstLine="709"/>
        <w:jc w:val="both"/>
        <w:rPr/>
      </w:pPr>
      <w:r>
        <w:rPr>
          <w:sz w:val="24"/>
        </w:rPr>
        <w:t xml:space="preserve">8.3. Все изменения и дополнения к настоящему </w:t>
      </w:r>
      <w:r>
        <w:rPr>
          <w:spacing w:val="1"/>
          <w:sz w:val="24"/>
        </w:rPr>
        <w:t>Государственному контракту</w:t>
      </w:r>
      <w:r>
        <w:rPr>
          <w:sz w:val="24"/>
        </w:rPr>
        <w:t xml:space="preserve"> имеют силу только в случае их письменного оформления, подписания уполномоченными представителями Сторон и содержания прямой ссылки на настоящий </w:t>
      </w:r>
      <w:r>
        <w:rPr>
          <w:spacing w:val="1"/>
          <w:sz w:val="24"/>
        </w:rPr>
        <w:t>Государственный контракт</w:t>
      </w:r>
      <w:r>
        <w:rPr>
          <w:sz w:val="24"/>
        </w:rPr>
        <w:t>, при этом изменение условий Государственного контракта допускается при наличии предусмотренных действующим законодательством оснований.</w:t>
      </w:r>
    </w:p>
    <w:p>
      <w:pPr>
        <w:pStyle w:val="Normal"/>
        <w:ind w:firstLine="709"/>
        <w:jc w:val="both"/>
        <w:rPr/>
      </w:pPr>
      <w:r>
        <w:rPr>
          <w:sz w:val="24"/>
        </w:rPr>
        <w:t>8.4. Все приложения и дополнительные соглашения к настоящему</w:t>
      </w:r>
      <w:r>
        <w:rPr>
          <w:spacing w:val="1"/>
          <w:sz w:val="24"/>
        </w:rPr>
        <w:t xml:space="preserve"> Государственному контракту</w:t>
      </w:r>
      <w:r>
        <w:rPr>
          <w:sz w:val="24"/>
        </w:rPr>
        <w:t xml:space="preserve"> являются его неотъемлемой </w:t>
      </w:r>
      <w:bookmarkStart w:id="3" w:name="_GoBack"/>
      <w:bookmarkEnd w:id="3"/>
      <w:r>
        <w:rPr>
          <w:sz w:val="24"/>
        </w:rPr>
        <w:t>частью.</w:t>
      </w:r>
    </w:p>
    <w:p>
      <w:pPr>
        <w:pStyle w:val="Normal"/>
        <w:ind w:firstLine="709"/>
        <w:jc w:val="both"/>
        <w:rPr/>
      </w:pPr>
      <w:r>
        <w:rPr>
          <w:sz w:val="24"/>
        </w:rPr>
        <w:t xml:space="preserve">8.5. </w:t>
      </w:r>
      <w:r>
        <w:rPr>
          <w:spacing w:val="-2"/>
          <w:sz w:val="24"/>
        </w:rPr>
        <w:t xml:space="preserve">Настоящий </w:t>
      </w:r>
      <w:r>
        <w:rPr>
          <w:spacing w:val="1"/>
          <w:sz w:val="24"/>
        </w:rPr>
        <w:t>Государственный контракт</w:t>
      </w:r>
      <w:r>
        <w:rPr>
          <w:spacing w:val="-2"/>
          <w:sz w:val="24"/>
        </w:rPr>
        <w:t xml:space="preserve"> с Приложением составлен в 2-х экземплярах, по одному экземпляру для каждой из «Сторон», которые</w:t>
      </w:r>
      <w:r>
        <w:rPr>
          <w:spacing w:val="-4"/>
          <w:sz w:val="24"/>
        </w:rPr>
        <w:t xml:space="preserve"> имеют одинаковую юридическую силу. </w:t>
      </w:r>
    </w:p>
    <w:p>
      <w:pPr>
        <w:pStyle w:val="Normal"/>
        <w:ind w:firstLine="709"/>
        <w:jc w:val="both"/>
        <w:rPr>
          <w:spacing w:val="-4"/>
          <w:sz w:val="24"/>
        </w:rPr>
      </w:pPr>
      <w:r>
        <w:rPr>
          <w:spacing w:val="-4"/>
          <w:sz w:val="24"/>
        </w:rPr>
      </w:r>
    </w:p>
    <w:p>
      <w:pPr>
        <w:pStyle w:val="Normal"/>
        <w:tabs>
          <w:tab w:val="clear" w:pos="708"/>
          <w:tab w:val="left" w:pos="0" w:leader="none"/>
        </w:tabs>
        <w:ind w:left="1069" w:right="2" w:hanging="0"/>
        <w:jc w:val="center"/>
        <w:rPr/>
      </w:pPr>
      <w:r>
        <w:rPr>
          <w:b/>
          <w:spacing w:val="-7"/>
          <w:sz w:val="24"/>
        </w:rPr>
        <w:t>9. ЮРИДИЧЕСКИЕ АДРЕСА И БАНКОВСКИЕ РЕКВИЗИТЫ СТОРОН:</w:t>
      </w:r>
    </w:p>
    <w:tbl>
      <w:tblPr>
        <w:tblW w:w="9708" w:type="dxa"/>
        <w:jc w:val="left"/>
        <w:tblInd w:w="-497" w:type="dxa"/>
        <w:tblCellMar>
          <w:top w:w="0" w:type="dxa"/>
          <w:left w:w="70" w:type="dxa"/>
          <w:bottom w:w="0" w:type="dxa"/>
          <w:right w:w="70" w:type="dxa"/>
        </w:tblCellMar>
        <w:tblLook w:val="04a0"/>
      </w:tblPr>
      <w:tblGrid>
        <w:gridCol w:w="4986"/>
        <w:gridCol w:w="4721"/>
      </w:tblGrid>
      <w:tr>
        <w:trPr>
          <w:trHeight w:val="58" w:hRule="atLeast"/>
        </w:trPr>
        <w:tc>
          <w:tcPr>
            <w:tcW w:w="4986" w:type="dxa"/>
            <w:tcBorders/>
            <w:shd w:color="auto" w:fill="auto" w:val="clear"/>
          </w:tcPr>
          <w:p>
            <w:pPr>
              <w:pStyle w:val="Normal"/>
              <w:ind w:left="497" w:right="72" w:hanging="0"/>
              <w:rPr>
                <w:b/>
                <w:b/>
                <w:sz w:val="24"/>
              </w:rPr>
            </w:pPr>
            <w:r>
              <w:rPr>
                <w:b/>
                <w:sz w:val="24"/>
              </w:rPr>
            </w:r>
          </w:p>
          <w:p>
            <w:pPr>
              <w:pStyle w:val="Normal"/>
              <w:ind w:left="497" w:right="72" w:hanging="0"/>
              <w:rPr/>
            </w:pPr>
            <w:r>
              <w:rPr>
                <w:b/>
                <w:sz w:val="24"/>
              </w:rPr>
              <w:t>ИСПОЛНИТЕЛЬ:</w:t>
            </w:r>
          </w:p>
          <w:p>
            <w:pPr>
              <w:pStyle w:val="NoSpacing"/>
              <w:rPr>
                <w:rFonts w:ascii="Times New Roman" w:hAnsi="Times New Roman"/>
                <w:b/>
                <w:b/>
                <w:sz w:val="24"/>
              </w:rPr>
            </w:pPr>
            <w:r>
              <w:rPr>
                <w:rFonts w:ascii="Times New Roman" w:hAnsi="Times New Roman"/>
                <w:b/>
                <w:sz w:val="24"/>
              </w:rPr>
            </w:r>
          </w:p>
          <w:p>
            <w:pPr>
              <w:pStyle w:val="NoSpacing"/>
              <w:rPr/>
            </w:pPr>
            <w:r>
              <w:rPr>
                <w:rFonts w:ascii="Times New Roman" w:hAnsi="Times New Roman"/>
                <w:b/>
                <w:sz w:val="24"/>
              </w:rPr>
              <w:t xml:space="preserve">ФГКУ «ОВО ВНГ России </w:t>
            </w:r>
          </w:p>
          <w:p>
            <w:pPr>
              <w:pStyle w:val="NoSpacing"/>
              <w:rPr/>
            </w:pPr>
            <w:r>
              <w:rPr>
                <w:rFonts w:ascii="Times New Roman" w:hAnsi="Times New Roman"/>
                <w:b/>
                <w:sz w:val="24"/>
              </w:rPr>
              <w:t>по Сахалинской области»</w:t>
            </w:r>
          </w:p>
          <w:p>
            <w:pPr>
              <w:pStyle w:val="NoSpacing"/>
              <w:ind w:left="34" w:hanging="0"/>
              <w:rPr>
                <w:rFonts w:ascii="Times New Roman" w:hAnsi="Times New Roman"/>
                <w:sz w:val="24"/>
              </w:rPr>
            </w:pPr>
            <w:r>
              <w:rPr/>
            </w:r>
          </w:p>
          <w:p>
            <w:pPr>
              <w:pStyle w:val="NoSpacing"/>
              <w:rPr>
                <w:rFonts w:ascii="Times New Roman" w:hAnsi="Times New Roman"/>
                <w:sz w:val="24"/>
              </w:rPr>
            </w:pPr>
            <w:r>
              <w:rPr>
                <w:rFonts w:ascii="Times New Roman" w:hAnsi="Times New Roman"/>
                <w:sz w:val="24"/>
              </w:rPr>
            </w:r>
          </w:p>
          <w:p>
            <w:pPr>
              <w:pStyle w:val="Normal"/>
              <w:ind w:left="71" w:hanging="0"/>
              <w:rPr>
                <w:b/>
                <w:b/>
                <w:sz w:val="24"/>
              </w:rPr>
            </w:pPr>
            <w:r>
              <w:rPr>
                <w:b/>
                <w:sz w:val="24"/>
              </w:rPr>
            </w:r>
          </w:p>
          <w:p>
            <w:pPr>
              <w:pStyle w:val="Normal"/>
              <w:ind w:left="71" w:hanging="0"/>
              <w:rPr>
                <w:b/>
                <w:b/>
                <w:sz w:val="24"/>
              </w:rPr>
            </w:pPr>
            <w:r>
              <w:rPr>
                <w:b/>
                <w:sz w:val="24"/>
              </w:rPr>
            </w:r>
          </w:p>
          <w:p>
            <w:pPr>
              <w:pStyle w:val="Normal"/>
              <w:ind w:left="71" w:hanging="0"/>
              <w:rPr>
                <w:b/>
                <w:b/>
                <w:sz w:val="24"/>
              </w:rPr>
            </w:pPr>
            <w:r>
              <w:rPr>
                <w:b/>
                <w:sz w:val="24"/>
              </w:rPr>
            </w:r>
          </w:p>
          <w:p>
            <w:pPr>
              <w:pStyle w:val="Normal"/>
              <w:ind w:left="71" w:hanging="0"/>
              <w:rPr>
                <w:b/>
                <w:b/>
                <w:sz w:val="24"/>
              </w:rPr>
            </w:pPr>
            <w:r>
              <w:rPr>
                <w:b/>
                <w:sz w:val="24"/>
              </w:rPr>
            </w:r>
          </w:p>
          <w:p>
            <w:pPr>
              <w:pStyle w:val="Normal"/>
              <w:ind w:left="71" w:hanging="0"/>
              <w:rPr>
                <w:b/>
                <w:b/>
                <w:sz w:val="24"/>
              </w:rPr>
            </w:pPr>
            <w:r>
              <w:rPr>
                <w:b/>
                <w:sz w:val="24"/>
              </w:rPr>
            </w:r>
          </w:p>
          <w:p>
            <w:pPr>
              <w:pStyle w:val="Normal"/>
              <w:ind w:left="71" w:hanging="0"/>
              <w:rPr>
                <w:b/>
                <w:b/>
                <w:sz w:val="24"/>
              </w:rPr>
            </w:pPr>
            <w:r>
              <w:rPr>
                <w:b/>
                <w:sz w:val="24"/>
              </w:rPr>
            </w:r>
          </w:p>
          <w:p>
            <w:pPr>
              <w:pStyle w:val="Normal"/>
              <w:ind w:left="71" w:hanging="0"/>
              <w:rPr>
                <w:b/>
                <w:b/>
                <w:sz w:val="24"/>
              </w:rPr>
            </w:pPr>
            <w:r>
              <w:rPr>
                <w:b/>
                <w:sz w:val="24"/>
              </w:rPr>
            </w:r>
          </w:p>
          <w:p>
            <w:pPr>
              <w:pStyle w:val="Normal"/>
              <w:ind w:left="71" w:hanging="0"/>
              <w:rPr>
                <w:b/>
                <w:b/>
                <w:sz w:val="24"/>
              </w:rPr>
            </w:pPr>
            <w:r>
              <w:rPr>
                <w:b/>
                <w:sz w:val="24"/>
              </w:rPr>
            </w:r>
          </w:p>
          <w:p>
            <w:pPr>
              <w:pStyle w:val="Normal"/>
              <w:ind w:left="71" w:hanging="0"/>
              <w:rPr>
                <w:b/>
                <w:b/>
                <w:sz w:val="24"/>
              </w:rPr>
            </w:pPr>
            <w:r>
              <w:rPr>
                <w:b/>
                <w:sz w:val="24"/>
              </w:rPr>
            </w:r>
          </w:p>
          <w:p>
            <w:pPr>
              <w:pStyle w:val="Normal"/>
              <w:ind w:left="71" w:hanging="0"/>
              <w:rPr>
                <w:b/>
                <w:b/>
                <w:sz w:val="24"/>
              </w:rPr>
            </w:pPr>
            <w:r>
              <w:rPr>
                <w:b/>
                <w:sz w:val="24"/>
              </w:rPr>
            </w:r>
          </w:p>
          <w:p>
            <w:pPr>
              <w:pStyle w:val="Normal"/>
              <w:ind w:left="71" w:hanging="0"/>
              <w:rPr>
                <w:b/>
                <w:b/>
                <w:sz w:val="24"/>
              </w:rPr>
            </w:pPr>
            <w:r>
              <w:rPr>
                <w:b/>
                <w:sz w:val="24"/>
              </w:rPr>
            </w:r>
          </w:p>
          <w:p>
            <w:pPr>
              <w:pStyle w:val="Normal"/>
              <w:ind w:left="71" w:hanging="0"/>
              <w:rPr>
                <w:b/>
                <w:b/>
                <w:sz w:val="24"/>
              </w:rPr>
            </w:pPr>
            <w:r>
              <w:rPr/>
            </w:r>
          </w:p>
          <w:p>
            <w:pPr>
              <w:pStyle w:val="Normal"/>
              <w:ind w:left="71" w:hanging="0"/>
              <w:rPr>
                <w:b/>
                <w:b/>
                <w:sz w:val="24"/>
              </w:rPr>
            </w:pPr>
            <w:r>
              <w:rPr>
                <w:b/>
                <w:sz w:val="24"/>
              </w:rPr>
            </w:r>
          </w:p>
          <w:p>
            <w:pPr>
              <w:pStyle w:val="Normal"/>
              <w:ind w:left="71" w:hanging="0"/>
              <w:rPr>
                <w:b/>
                <w:b/>
                <w:sz w:val="24"/>
              </w:rPr>
            </w:pPr>
            <w:r>
              <w:rPr>
                <w:sz w:val="24"/>
              </w:rPr>
              <w:t>_________________</w:t>
            </w:r>
          </w:p>
          <w:p>
            <w:pPr>
              <w:pStyle w:val="Normal"/>
              <w:ind w:left="71" w:hanging="0"/>
              <w:rPr/>
            </w:pPr>
            <w:r>
              <w:rPr/>
              <w:t>м.п.</w:t>
            </w:r>
          </w:p>
        </w:tc>
        <w:tc>
          <w:tcPr>
            <w:tcW w:w="4721" w:type="dxa"/>
            <w:tcBorders/>
            <w:shd w:color="auto" w:fill="auto" w:val="clear"/>
          </w:tcPr>
          <w:p>
            <w:pPr>
              <w:pStyle w:val="Normal"/>
              <w:ind w:left="497" w:right="72" w:hanging="0"/>
              <w:rPr>
                <w:sz w:val="24"/>
              </w:rPr>
            </w:pPr>
            <w:r>
              <w:rPr>
                <w:sz w:val="24"/>
              </w:rPr>
            </w:r>
          </w:p>
          <w:p>
            <w:pPr>
              <w:pStyle w:val="Normal"/>
              <w:ind w:left="497" w:right="72" w:hanging="0"/>
              <w:rPr/>
            </w:pPr>
            <w:r>
              <w:rPr>
                <w:b/>
                <w:sz w:val="24"/>
              </w:rPr>
              <w:t>ЗАКАЗЧИК:</w:t>
            </w:r>
          </w:p>
          <w:p>
            <w:pPr>
              <w:pStyle w:val="Normal"/>
              <w:ind w:left="497" w:right="-518" w:hanging="0"/>
              <w:rPr>
                <w:b/>
                <w:b/>
                <w:sz w:val="24"/>
              </w:rPr>
            </w:pPr>
            <w:r>
              <w:rPr>
                <w:b/>
                <w:sz w:val="24"/>
              </w:rPr>
            </w:r>
          </w:p>
          <w:p>
            <w:pPr>
              <w:pStyle w:val="Normal"/>
              <w:ind w:left="497" w:right="-143" w:hanging="0"/>
              <w:rPr/>
            </w:pPr>
            <w:r>
              <w:rPr/>
            </w:r>
          </w:p>
        </w:tc>
      </w:tr>
    </w:tbl>
    <w:p>
      <w:pPr>
        <w:pStyle w:val="Normal"/>
        <w:tabs>
          <w:tab w:val="clear" w:pos="708"/>
          <w:tab w:val="left" w:pos="7620" w:leader="none"/>
        </w:tabs>
        <w:ind w:right="154" w:firstLine="709"/>
        <w:jc w:val="both"/>
        <w:rPr>
          <w:sz w:val="24"/>
        </w:rPr>
      </w:pPr>
      <w:r>
        <w:rPr/>
      </w:r>
    </w:p>
    <w:sectPr>
      <w:footerReference w:type="default" r:id="rId2"/>
      <w:type w:val="nextPage"/>
      <w:pgSz w:w="11906" w:h="16838"/>
      <w:pgMar w:left="1701" w:right="1134" w:header="0" w:top="1135" w:footer="720" w:bottom="993" w:gutter="0"/>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swiss"/>
    <w:pitch w:val="default"/>
  </w:font>
  <w:font w:name="XO Thames">
    <w:charset w:val="01"/>
    <w:family w:val="swiss"/>
    <w:pitch w:val="default"/>
  </w:font>
  <w:font w:name="PT Sans">
    <w:charset w:val="01"/>
    <w:family w:val="swiss"/>
    <w:pitch w:val="default"/>
  </w:font>
  <w:font w:name="Courier New">
    <w:charset w:val="01"/>
    <w:family w:val="swiss"/>
    <w:pitch w:val="default"/>
  </w:font>
  <w:font w:name="Calibri">
    <w:charset w:val="01"/>
    <w:family w:val="swiss"/>
    <w:pitch w:val="default"/>
  </w:font>
  <w:font w:name="Tahoma">
    <w:charset w:val="01"/>
    <w:family w:val="swiss"/>
    <w:pitch w:val="default"/>
  </w:font>
  <w:font w:name="Arial">
    <w:charset w:val="01"/>
    <w:family w:val="swiss"/>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1"/>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decimal"/>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1069"/>
        </w:tabs>
        <w:ind w:left="1069" w:hanging="360"/>
      </w:pPr>
      <w:rPr>
        <w:sz w:val="24"/>
        <w:b/>
      </w:rPr>
    </w:lvl>
    <w:lvl w:ilvl="1">
      <w:start w:val="1"/>
      <w:numFmt w:val="decimal"/>
      <w:lvlText w:val="%1.%2."/>
      <w:lvlJc w:val="left"/>
      <w:pPr>
        <w:tabs>
          <w:tab w:val="num" w:pos="0"/>
        </w:tabs>
        <w:ind w:left="1429" w:hanging="720"/>
      </w:pPr>
      <w:rPr>
        <w:sz w:val="24"/>
        <w:spacing w:val="1"/>
        <w:color w:val="000000"/>
      </w:rPr>
    </w:lvl>
    <w:lvl w:ilvl="2">
      <w:start w:val="1"/>
      <w:numFmt w:val="decimal"/>
      <w:lvlText w:val="%1.%2.%3."/>
      <w:lvlJc w:val="left"/>
      <w:pPr>
        <w:tabs>
          <w:tab w:val="num" w:pos="0"/>
        </w:tabs>
        <w:ind w:left="1429" w:hanging="720"/>
      </w:pPr>
      <w:rPr>
        <w:sz w:val="24"/>
        <w:spacing w:val="1"/>
        <w:color w:val="000000"/>
      </w:rPr>
    </w:lvl>
    <w:lvl w:ilvl="3">
      <w:start w:val="1"/>
      <w:numFmt w:val="decimal"/>
      <w:lvlText w:val="%1.%2.%3.%4."/>
      <w:lvlJc w:val="left"/>
      <w:pPr>
        <w:tabs>
          <w:tab w:val="num" w:pos="0"/>
        </w:tabs>
        <w:ind w:left="1789" w:hanging="1080"/>
      </w:pPr>
      <w:rPr>
        <w:sz w:val="24"/>
        <w:spacing w:val="1"/>
        <w:color w:val="000000"/>
      </w:rPr>
    </w:lvl>
    <w:lvl w:ilvl="4">
      <w:start w:val="1"/>
      <w:numFmt w:val="decimal"/>
      <w:lvlText w:val="%1.%2.%3.%4.%5."/>
      <w:lvlJc w:val="left"/>
      <w:pPr>
        <w:tabs>
          <w:tab w:val="num" w:pos="0"/>
        </w:tabs>
        <w:ind w:left="1789" w:hanging="1080"/>
      </w:pPr>
      <w:rPr>
        <w:sz w:val="24"/>
        <w:spacing w:val="1"/>
        <w:color w:val="000000"/>
      </w:rPr>
    </w:lvl>
    <w:lvl w:ilvl="5">
      <w:start w:val="1"/>
      <w:numFmt w:val="decimal"/>
      <w:lvlText w:val="%1.%2.%3.%4.%5.%6."/>
      <w:lvlJc w:val="left"/>
      <w:pPr>
        <w:tabs>
          <w:tab w:val="num" w:pos="0"/>
        </w:tabs>
        <w:ind w:left="2149" w:hanging="1440"/>
      </w:pPr>
      <w:rPr>
        <w:sz w:val="24"/>
        <w:spacing w:val="1"/>
        <w:color w:val="000000"/>
      </w:rPr>
    </w:lvl>
    <w:lvl w:ilvl="6">
      <w:start w:val="1"/>
      <w:numFmt w:val="decimal"/>
      <w:lvlText w:val="%1.%2.%3.%4.%5.%6.%7."/>
      <w:lvlJc w:val="left"/>
      <w:pPr>
        <w:tabs>
          <w:tab w:val="num" w:pos="0"/>
        </w:tabs>
        <w:ind w:left="2149" w:hanging="1440"/>
      </w:pPr>
      <w:rPr>
        <w:sz w:val="24"/>
        <w:spacing w:val="1"/>
        <w:color w:val="000000"/>
      </w:rPr>
    </w:lvl>
    <w:lvl w:ilvl="7">
      <w:start w:val="1"/>
      <w:numFmt w:val="decimal"/>
      <w:lvlText w:val="%1.%2.%3.%4.%5.%6.%7.%8."/>
      <w:lvlJc w:val="left"/>
      <w:pPr>
        <w:tabs>
          <w:tab w:val="num" w:pos="0"/>
        </w:tabs>
        <w:ind w:left="2509" w:hanging="1800"/>
      </w:pPr>
      <w:rPr>
        <w:sz w:val="24"/>
        <w:spacing w:val="1"/>
        <w:color w:val="000000"/>
      </w:rPr>
    </w:lvl>
    <w:lvl w:ilvl="8">
      <w:start w:val="1"/>
      <w:numFmt w:val="decimal"/>
      <w:lvlText w:val="%1.%2.%3.%4.%5.%6.%7.%8.%9."/>
      <w:lvlJc w:val="left"/>
      <w:pPr>
        <w:tabs>
          <w:tab w:val="num" w:pos="0"/>
        </w:tabs>
        <w:ind w:left="2509" w:hanging="1800"/>
      </w:pPr>
      <w:rPr>
        <w:sz w:val="24"/>
        <w:spacing w:val="1"/>
        <w:color w:val="000000"/>
      </w:rPr>
    </w:lvl>
  </w:abstractNum>
  <w:abstractNum w:abstractNumId="3">
    <w:lvl w:ilvl="0">
      <w:start w:val="1"/>
      <w:numFmt w:val="decimal"/>
      <w:lvlText w:val=""/>
      <w:lvlJc w:val="left"/>
      <w:pPr>
        <w:tabs>
          <w:tab w:val="num" w:pos="0"/>
        </w:tabs>
        <w:ind w:left="0" w:hanging="0"/>
      </w:pPr>
    </w:lvl>
    <w:lvl w:ilvl="1">
      <w:start w:val="1"/>
      <w:numFmt w:val="decimal"/>
      <w:lvlText w:val=""/>
      <w:lvlJc w:val="left"/>
      <w:pPr>
        <w:tabs>
          <w:tab w:val="num" w:pos="0"/>
        </w:tabs>
        <w:ind w:left="0" w:hanging="0"/>
      </w:pPr>
    </w:lvl>
    <w:lvl w:ilvl="2">
      <w:start w:val="1"/>
      <w:numFmt w:val="decimal"/>
      <w:lvlText w:val=""/>
      <w:lvlJc w:val="left"/>
      <w:pPr>
        <w:tabs>
          <w:tab w:val="num" w:pos="0"/>
        </w:tabs>
        <w:ind w:left="0" w:hanging="0"/>
      </w:pPr>
    </w:lvl>
    <w:lvl w:ilvl="3">
      <w:start w:val="1"/>
      <w:numFmt w:val="decimal"/>
      <w:lvlText w:val=""/>
      <w:lvlJc w:val="left"/>
      <w:pPr>
        <w:tabs>
          <w:tab w:val="num" w:pos="0"/>
        </w:tabs>
        <w:ind w:left="0" w:hanging="0"/>
      </w:pPr>
    </w:lvl>
    <w:lvl w:ilvl="4">
      <w:start w:val="1"/>
      <w:numFmt w:val="decimal"/>
      <w:lvlText w:val=""/>
      <w:lvlJc w:val="left"/>
      <w:pPr>
        <w:tabs>
          <w:tab w:val="num" w:pos="0"/>
        </w:tabs>
        <w:ind w:left="0" w:hanging="0"/>
      </w:pPr>
    </w:lvl>
    <w:lvl w:ilvl="5">
      <w:start w:val="1"/>
      <w:numFmt w:val="decimal"/>
      <w:lvlText w:val=""/>
      <w:lvlJc w:val="left"/>
      <w:pPr>
        <w:tabs>
          <w:tab w:val="num" w:pos="0"/>
        </w:tabs>
        <w:ind w:left="0" w:hanging="0"/>
      </w:pPr>
    </w:lvl>
    <w:lvl w:ilvl="6">
      <w:start w:val="1"/>
      <w:numFmt w:val="decimal"/>
      <w:lvlText w:val=""/>
      <w:lvlJc w:val="left"/>
      <w:pPr>
        <w:tabs>
          <w:tab w:val="num" w:pos="0"/>
        </w:tabs>
        <w:ind w:left="0" w:hanging="0"/>
      </w:pPr>
    </w:lvl>
    <w:lvl w:ilvl="7">
      <w:start w:val="1"/>
      <w:numFmt w:val="decimal"/>
      <w:lvlText w:val=""/>
      <w:lvlJc w:val="left"/>
      <w:pPr>
        <w:tabs>
          <w:tab w:val="num" w:pos="0"/>
        </w:tabs>
        <w:ind w:left="0" w:hanging="0"/>
      </w:pPr>
    </w:lvl>
    <w:lvl w:ilvl="8">
      <w:start w:val="1"/>
      <w:numFmt w:val="decimal"/>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50"/>
  <w:defaultTabStop w:val="708"/>
  <w:autoHyphenation w:val="true"/>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color w:val="000000"/>
        <w:lang w:val="ru-RU" w:eastAsia="ru-RU"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semiHidden="0" w:unhideWhenUsed="0" w:qFormat="1"/>
    <w:lsdException w:name="heading 4" w:uiPriority="9" w:semiHidden="0" w:unhideWhenUsed="0" w:qFormat="1"/>
    <w:lsdException w:name="heading 5" w:uiPriority="9" w:semiHidden="0" w:unhideWhenUsed="0" w:qFormat="1"/>
    <w:lsdException w:name="heading 6" w:uiPriority="9" w:qFormat="1"/>
    <w:lsdException w:name="heading 7" w:uiPriority="9" w:qFormat="1"/>
    <w:lsdException w:name="heading 8" w:uiPriority="9" w:qFormat="1"/>
    <w:lsdException w:name="heading 9" w:uiPriority="9" w:qFormat="1"/>
    <w:lsdException w:name="toc 1" w:uiPriority="39" w:semiHidden="0" w:unhideWhenUsed="0"/>
    <w:lsdException w:name="toc 2" w:uiPriority="39" w:semiHidden="0" w:unhideWhenUsed="0"/>
    <w:lsdException w:name="toc 3" w:uiPriority="39" w:semiHidden="0" w:unhideWhenUsed="0"/>
    <w:lsdException w:name="toc 4" w:uiPriority="39" w:semiHidden="0" w:unhideWhenUsed="0"/>
    <w:lsdException w:name="toc 5" w:uiPriority="39" w:semiHidden="0" w:unhideWhenUsed="0"/>
    <w:lsdException w:name="toc 6" w:uiPriority="39" w:semiHidden="0" w:unhideWhenUsed="0"/>
    <w:lsdException w:name="toc 7" w:uiPriority="39" w:semiHidden="0" w:unhideWhenUsed="0"/>
    <w:lsdException w:name="toc 8" w:uiPriority="39" w:semiHidden="0" w:unhideWhenUsed="0"/>
    <w:lsdException w:name="toc 9" w:uiPriority="39" w:semiHidden="0" w:unhideWhenUsed="0"/>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Hyperlink" w:semiHidden="0" w:unhideWhenUsed="0"/>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0"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link w:val="10"/>
    <w:qFormat/>
    <w:rsid w:val="000c71fa"/>
    <w:pPr>
      <w:widowControl w:val="false"/>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1">
    <w:name w:val="Heading 1"/>
    <w:basedOn w:val="Normal"/>
    <w:next w:val="Normal"/>
    <w:link w:val="11"/>
    <w:uiPriority w:val="9"/>
    <w:qFormat/>
    <w:rsid w:val="000c71fa"/>
    <w:pPr>
      <w:keepNext w:val="true"/>
      <w:widowControl/>
      <w:numPr>
        <w:ilvl w:val="0"/>
        <w:numId w:val="1"/>
      </w:numPr>
      <w:ind w:right="-1192" w:hanging="0"/>
      <w:jc w:val="both"/>
      <w:outlineLvl w:val="0"/>
    </w:pPr>
    <w:rPr>
      <w:sz w:val="24"/>
    </w:rPr>
  </w:style>
  <w:style w:type="paragraph" w:styleId="2">
    <w:name w:val="Heading 2"/>
    <w:link w:val="20"/>
    <w:uiPriority w:val="9"/>
    <w:qFormat/>
    <w:rsid w:val="000c71fa"/>
    <w:pPr>
      <w:widowControl/>
      <w:suppressAutoHyphens w:val="true"/>
      <w:bidi w:val="0"/>
      <w:spacing w:before="120" w:after="120"/>
      <w:jc w:val="left"/>
      <w:outlineLvl w:val="1"/>
    </w:pPr>
    <w:rPr>
      <w:rFonts w:ascii="XO Thames" w:hAnsi="XO Thames" w:eastAsia="Times New Roman" w:cs="Times New Roman"/>
      <w:b/>
      <w:color w:val="00A0FF"/>
      <w:kern w:val="0"/>
      <w:sz w:val="26"/>
      <w:szCs w:val="20"/>
      <w:lang w:val="ru-RU" w:eastAsia="ru-RU" w:bidi="ar-SA"/>
    </w:rPr>
  </w:style>
  <w:style w:type="paragraph" w:styleId="3">
    <w:name w:val="Heading 3"/>
    <w:link w:val="30"/>
    <w:uiPriority w:val="9"/>
    <w:qFormat/>
    <w:rsid w:val="000c71fa"/>
    <w:pPr>
      <w:widowControl/>
      <w:suppressAutoHyphens w:val="true"/>
      <w:bidi w:val="0"/>
      <w:spacing w:before="0" w:after="0"/>
      <w:jc w:val="left"/>
      <w:outlineLvl w:val="2"/>
    </w:pPr>
    <w:rPr>
      <w:rFonts w:ascii="XO Thames" w:hAnsi="XO Thames" w:eastAsia="Times New Roman" w:cs="Times New Roman"/>
      <w:b/>
      <w:i/>
      <w:color w:val="000000"/>
      <w:kern w:val="0"/>
      <w:sz w:val="20"/>
      <w:szCs w:val="20"/>
      <w:lang w:val="ru-RU" w:eastAsia="ru-RU" w:bidi="ar-SA"/>
    </w:rPr>
  </w:style>
  <w:style w:type="paragraph" w:styleId="4">
    <w:name w:val="Heading 4"/>
    <w:link w:val="40"/>
    <w:uiPriority w:val="9"/>
    <w:qFormat/>
    <w:rsid w:val="000c71fa"/>
    <w:pPr>
      <w:widowControl/>
      <w:suppressAutoHyphens w:val="true"/>
      <w:bidi w:val="0"/>
      <w:spacing w:before="120" w:after="120"/>
      <w:jc w:val="left"/>
      <w:outlineLvl w:val="3"/>
    </w:pPr>
    <w:rPr>
      <w:rFonts w:ascii="XO Thames" w:hAnsi="XO Thames" w:eastAsia="Times New Roman" w:cs="Times New Roman"/>
      <w:b/>
      <w:color w:val="595959"/>
      <w:kern w:val="0"/>
      <w:sz w:val="26"/>
      <w:szCs w:val="20"/>
      <w:lang w:val="ru-RU" w:eastAsia="ru-RU" w:bidi="ar-SA"/>
    </w:rPr>
  </w:style>
  <w:style w:type="paragraph" w:styleId="5">
    <w:name w:val="Heading 5"/>
    <w:link w:val="50"/>
    <w:uiPriority w:val="9"/>
    <w:qFormat/>
    <w:rsid w:val="000c71fa"/>
    <w:pPr>
      <w:widowControl/>
      <w:suppressAutoHyphens w:val="true"/>
      <w:bidi w:val="0"/>
      <w:spacing w:before="120" w:after="120"/>
      <w:jc w:val="left"/>
      <w:outlineLvl w:val="4"/>
    </w:pPr>
    <w:rPr>
      <w:rFonts w:ascii="XO Thames" w:hAnsi="XO Thames" w:eastAsia="Times New Roman" w:cs="Times New Roman"/>
      <w:b/>
      <w:color w:val="000000"/>
      <w:kern w:val="0"/>
      <w:sz w:val="22"/>
      <w:szCs w:val="20"/>
      <w:lang w:val="ru-RU" w:eastAsia="ru-RU" w:bidi="ar-SA"/>
    </w:rPr>
  </w:style>
  <w:style w:type="character" w:styleId="DefaultParagraphFont" w:default="1">
    <w:name w:val="Default Paragraph Font"/>
    <w:uiPriority w:val="1"/>
    <w:semiHidden/>
    <w:unhideWhenUsed/>
    <w:qFormat/>
    <w:rPr/>
  </w:style>
  <w:style w:type="character" w:styleId="11" w:customStyle="1">
    <w:name w:val="Обычный1"/>
    <w:qFormat/>
    <w:rsid w:val="000c71fa"/>
    <w:rPr>
      <w:rFonts w:ascii="Times New Roman" w:hAnsi="Times New Roman"/>
      <w:color w:val="000000"/>
      <w:sz w:val="20"/>
    </w:rPr>
  </w:style>
  <w:style w:type="character" w:styleId="Style9" w:customStyle="1">
    <w:name w:val="Основной текст Знак"/>
    <w:basedOn w:val="11"/>
    <w:link w:val="a3"/>
    <w:qFormat/>
    <w:rsid w:val="000c71fa"/>
    <w:rPr>
      <w:rFonts w:ascii="Times New Roman" w:hAnsi="Times New Roman"/>
      <w:color w:val="000000"/>
      <w:sz w:val="20"/>
    </w:rPr>
  </w:style>
  <w:style w:type="character" w:styleId="21" w:customStyle="1">
    <w:name w:val="Оглавление 2 Знак"/>
    <w:link w:val="21"/>
    <w:qFormat/>
    <w:rsid w:val="000c71fa"/>
    <w:rPr/>
  </w:style>
  <w:style w:type="character" w:styleId="22" w:customStyle="1">
    <w:name w:val="Основной текст с отступом 2 Знак"/>
    <w:link w:val="23"/>
    <w:qFormat/>
    <w:rsid w:val="000c71fa"/>
    <w:rPr>
      <w:color w:val="000000"/>
      <w:spacing w:val="-5"/>
      <w:sz w:val="28"/>
      <w:highlight w:val="white"/>
    </w:rPr>
  </w:style>
  <w:style w:type="character" w:styleId="41" w:customStyle="1">
    <w:name w:val="Оглавление 4 Знак"/>
    <w:link w:val="41"/>
    <w:qFormat/>
    <w:rsid w:val="000c71fa"/>
    <w:rPr/>
  </w:style>
  <w:style w:type="character" w:styleId="Style10" w:customStyle="1">
    <w:name w:val="Верхний колонтитул Знак"/>
    <w:basedOn w:val="11"/>
    <w:link w:val="a5"/>
    <w:qFormat/>
    <w:rsid w:val="000c71fa"/>
    <w:rPr>
      <w:rFonts w:ascii="Times New Roman" w:hAnsi="Times New Roman"/>
      <w:color w:val="000000"/>
      <w:sz w:val="20"/>
    </w:rPr>
  </w:style>
  <w:style w:type="character" w:styleId="6" w:customStyle="1">
    <w:name w:val="Оглавление 6 Знак"/>
    <w:link w:val="6"/>
    <w:qFormat/>
    <w:rsid w:val="000c71fa"/>
    <w:rPr/>
  </w:style>
  <w:style w:type="character" w:styleId="12" w:customStyle="1">
    <w:name w:val="Заголовок 1 Знак"/>
    <w:link w:val="12"/>
    <w:qFormat/>
    <w:rsid w:val="000c71fa"/>
    <w:rPr>
      <w:sz w:val="24"/>
    </w:rPr>
  </w:style>
  <w:style w:type="character" w:styleId="7" w:customStyle="1">
    <w:name w:val="Оглавление 7 Знак"/>
    <w:link w:val="7"/>
    <w:qFormat/>
    <w:rsid w:val="000c71fa"/>
    <w:rPr/>
  </w:style>
  <w:style w:type="character" w:styleId="31" w:customStyle="1">
    <w:name w:val="Заголовок 3 Знак"/>
    <w:link w:val="3"/>
    <w:qFormat/>
    <w:rsid w:val="000c71fa"/>
    <w:rPr>
      <w:rFonts w:ascii="XO Thames" w:hAnsi="XO Thames"/>
      <w:b/>
      <w:i/>
      <w:color w:val="000000"/>
    </w:rPr>
  </w:style>
  <w:style w:type="character" w:styleId="13" w:customStyle="1">
    <w:name w:val="Нижний колонтитул Знак1"/>
    <w:basedOn w:val="11"/>
    <w:link w:val="a7"/>
    <w:qFormat/>
    <w:rsid w:val="000c71fa"/>
    <w:rPr>
      <w:rFonts w:ascii="Times New Roman" w:hAnsi="Times New Roman"/>
      <w:color w:val="000000"/>
      <w:sz w:val="20"/>
    </w:rPr>
  </w:style>
  <w:style w:type="character" w:styleId="Style11" w:customStyle="1">
    <w:name w:val="Указатель Знак"/>
    <w:basedOn w:val="11"/>
    <w:link w:val="a8"/>
    <w:qFormat/>
    <w:rsid w:val="000c71fa"/>
    <w:rPr>
      <w:rFonts w:ascii="PT Sans" w:hAnsi="PT Sans"/>
      <w:color w:val="000000"/>
      <w:sz w:val="20"/>
    </w:rPr>
  </w:style>
  <w:style w:type="character" w:styleId="Style12" w:customStyle="1">
    <w:name w:val="Заголовок таблицы"/>
    <w:basedOn w:val="Style16"/>
    <w:link w:val="aa"/>
    <w:qFormat/>
    <w:rsid w:val="000c71fa"/>
    <w:rPr>
      <w:rFonts w:ascii="Times New Roman" w:hAnsi="Times New Roman"/>
      <w:b/>
      <w:color w:val="000000"/>
      <w:sz w:val="20"/>
    </w:rPr>
  </w:style>
  <w:style w:type="character" w:styleId="Style13" w:customStyle="1">
    <w:name w:val="Основной текст с отступом Знак"/>
    <w:basedOn w:val="11"/>
    <w:link w:val="ae"/>
    <w:qFormat/>
    <w:rsid w:val="000c71fa"/>
    <w:rPr>
      <w:rFonts w:ascii="Times New Roman" w:hAnsi="Times New Roman"/>
      <w:color w:val="000000"/>
      <w:spacing w:val="-5"/>
      <w:sz w:val="28"/>
    </w:rPr>
  </w:style>
  <w:style w:type="character" w:styleId="Style14" w:customStyle="1">
    <w:name w:val="Нижний колонтитул Знак"/>
    <w:basedOn w:val="DefaultParagraphFont"/>
    <w:link w:val="af0"/>
    <w:qFormat/>
    <w:rsid w:val="000c71fa"/>
    <w:rPr/>
  </w:style>
  <w:style w:type="character" w:styleId="Style15" w:customStyle="1">
    <w:name w:val="Название объекта Знак"/>
    <w:basedOn w:val="11"/>
    <w:link w:val="af2"/>
    <w:qFormat/>
    <w:rsid w:val="000c71fa"/>
    <w:rPr>
      <w:rFonts w:ascii="PT Sans" w:hAnsi="PT Sans"/>
      <w:i/>
      <w:color w:val="000000"/>
      <w:sz w:val="24"/>
    </w:rPr>
  </w:style>
  <w:style w:type="character" w:styleId="Pagenumber">
    <w:name w:val="page number"/>
    <w:basedOn w:val="DefaultParagraphFont"/>
    <w:link w:val="16"/>
    <w:qFormat/>
    <w:rsid w:val="000c71fa"/>
    <w:rPr/>
  </w:style>
  <w:style w:type="character" w:styleId="32" w:customStyle="1">
    <w:name w:val="Оглавление 3 Знак"/>
    <w:link w:val="31"/>
    <w:qFormat/>
    <w:rsid w:val="000c71fa"/>
    <w:rPr/>
  </w:style>
  <w:style w:type="character" w:styleId="14" w:customStyle="1">
    <w:name w:val="Заголовок1"/>
    <w:basedOn w:val="11"/>
    <w:qFormat/>
    <w:rsid w:val="000c71fa"/>
    <w:rPr>
      <w:rFonts w:ascii="PT Sans" w:hAnsi="PT Sans"/>
      <w:color w:val="000000"/>
      <w:sz w:val="28"/>
    </w:rPr>
  </w:style>
  <w:style w:type="character" w:styleId="ConsPlusNonformat" w:customStyle="1">
    <w:name w:val="ConsPlusNonformat"/>
    <w:link w:val="ConsPlusNonformat"/>
    <w:qFormat/>
    <w:rsid w:val="000c71fa"/>
    <w:rPr>
      <w:rFonts w:ascii="Courier New" w:hAnsi="Courier New"/>
      <w:color w:val="000000"/>
      <w:sz w:val="20"/>
    </w:rPr>
  </w:style>
  <w:style w:type="character" w:styleId="Style16" w:customStyle="1">
    <w:name w:val="Содержимое таблицы"/>
    <w:basedOn w:val="11"/>
    <w:link w:val="ab"/>
    <w:qFormat/>
    <w:rsid w:val="000c71fa"/>
    <w:rPr>
      <w:rFonts w:ascii="Times New Roman" w:hAnsi="Times New Roman"/>
      <w:color w:val="000000"/>
      <w:sz w:val="20"/>
    </w:rPr>
  </w:style>
  <w:style w:type="character" w:styleId="WW8Num2z0" w:customStyle="1">
    <w:name w:val="WW8Num2z0"/>
    <w:link w:val="WW8Num2z0"/>
    <w:qFormat/>
    <w:rsid w:val="000c71fa"/>
    <w:rPr>
      <w:b/>
      <w:sz w:val="24"/>
    </w:rPr>
  </w:style>
  <w:style w:type="character" w:styleId="51" w:customStyle="1">
    <w:name w:val="Заголовок 5 Знак"/>
    <w:link w:val="5"/>
    <w:qFormat/>
    <w:rsid w:val="000c71fa"/>
    <w:rPr>
      <w:rFonts w:ascii="XO Thames" w:hAnsi="XO Thames"/>
      <w:b/>
      <w:color w:val="000000"/>
      <w:sz w:val="22"/>
    </w:rPr>
  </w:style>
  <w:style w:type="character" w:styleId="111" w:customStyle="1">
    <w:name w:val="Заголовок 1 Знак1"/>
    <w:basedOn w:val="11"/>
    <w:link w:val="1"/>
    <w:qFormat/>
    <w:rsid w:val="000c71fa"/>
    <w:rPr>
      <w:rFonts w:ascii="Times New Roman" w:hAnsi="Times New Roman"/>
      <w:color w:val="000000"/>
      <w:sz w:val="24"/>
    </w:rPr>
  </w:style>
  <w:style w:type="character" w:styleId="Style17">
    <w:name w:val="Интернет-ссылка"/>
    <w:link w:val="18"/>
    <w:rsid w:val="000c71fa"/>
    <w:rPr>
      <w:color w:val="0000FF"/>
      <w:u w:val="single"/>
    </w:rPr>
  </w:style>
  <w:style w:type="character" w:styleId="Footnote" w:customStyle="1">
    <w:name w:val="Footnote"/>
    <w:link w:val="Footnote"/>
    <w:qFormat/>
    <w:rsid w:val="000c71fa"/>
    <w:rPr>
      <w:rFonts w:ascii="XO Thames" w:hAnsi="XO Thames"/>
      <w:sz w:val="22"/>
    </w:rPr>
  </w:style>
  <w:style w:type="character" w:styleId="15" w:customStyle="1">
    <w:name w:val="Оглавление 1 Знак"/>
    <w:link w:val="19"/>
    <w:qFormat/>
    <w:rsid w:val="000c71fa"/>
    <w:rPr>
      <w:rFonts w:ascii="XO Thames" w:hAnsi="XO Thames"/>
      <w:b/>
    </w:rPr>
  </w:style>
  <w:style w:type="character" w:styleId="HeaderandFooter" w:customStyle="1">
    <w:name w:val="Header and Footer"/>
    <w:link w:val="HeaderandFooter"/>
    <w:qFormat/>
    <w:rsid w:val="000c71fa"/>
    <w:rPr>
      <w:rFonts w:ascii="XO Thames" w:hAnsi="XO Thames"/>
      <w:sz w:val="20"/>
    </w:rPr>
  </w:style>
  <w:style w:type="character" w:styleId="9" w:customStyle="1">
    <w:name w:val="Оглавление 9 Знак"/>
    <w:link w:val="9"/>
    <w:qFormat/>
    <w:rsid w:val="000c71fa"/>
    <w:rPr/>
  </w:style>
  <w:style w:type="character" w:styleId="211" w:customStyle="1">
    <w:name w:val="Основной текст с отступом 2 Знак1"/>
    <w:basedOn w:val="11"/>
    <w:link w:val="25"/>
    <w:qFormat/>
    <w:rsid w:val="000c71fa"/>
    <w:rPr>
      <w:rFonts w:ascii="Times New Roman" w:hAnsi="Times New Roman"/>
      <w:color w:val="000000"/>
      <w:spacing w:val="-5"/>
      <w:sz w:val="28"/>
    </w:rPr>
  </w:style>
  <w:style w:type="character" w:styleId="8" w:customStyle="1">
    <w:name w:val="Оглавление 8 Знак"/>
    <w:link w:val="8"/>
    <w:qFormat/>
    <w:rsid w:val="000c71fa"/>
    <w:rPr/>
  </w:style>
  <w:style w:type="character" w:styleId="Style18" w:customStyle="1">
    <w:name w:val="Без интервала Знак"/>
    <w:link w:val="af8"/>
    <w:qFormat/>
    <w:rsid w:val="000c71fa"/>
    <w:rPr>
      <w:rFonts w:ascii="Calibri" w:hAnsi="Calibri"/>
      <w:color w:val="000000"/>
      <w:sz w:val="22"/>
    </w:rPr>
  </w:style>
  <w:style w:type="character" w:styleId="Style19" w:customStyle="1">
    <w:name w:val="Текст выноски Знак"/>
    <w:basedOn w:val="11"/>
    <w:link w:val="afa"/>
    <w:qFormat/>
    <w:rsid w:val="000c71fa"/>
    <w:rPr>
      <w:rFonts w:ascii="Tahoma" w:hAnsi="Tahoma"/>
      <w:color w:val="000000"/>
      <w:sz w:val="16"/>
    </w:rPr>
  </w:style>
  <w:style w:type="character" w:styleId="52" w:customStyle="1">
    <w:name w:val="Оглавление 5 Знак"/>
    <w:link w:val="51"/>
    <w:qFormat/>
    <w:rsid w:val="000c71fa"/>
    <w:rPr/>
  </w:style>
  <w:style w:type="character" w:styleId="WW8Num1z0" w:customStyle="1">
    <w:name w:val="WW8Num1z0"/>
    <w:link w:val="WW8Num1z0"/>
    <w:qFormat/>
    <w:rsid w:val="000c71fa"/>
    <w:rPr/>
  </w:style>
  <w:style w:type="character" w:styleId="Style20" w:customStyle="1">
    <w:name w:val="Подзаголовок Знак"/>
    <w:link w:val="afc"/>
    <w:qFormat/>
    <w:rsid w:val="000c71fa"/>
    <w:rPr>
      <w:rFonts w:ascii="XO Thames" w:hAnsi="XO Thames"/>
      <w:i/>
      <w:color w:val="616161"/>
      <w:sz w:val="24"/>
    </w:rPr>
  </w:style>
  <w:style w:type="character" w:styleId="Toc10" w:customStyle="1">
    <w:name w:val="toc 10"/>
    <w:link w:val="toc10"/>
    <w:qFormat/>
    <w:rsid w:val="000c71fa"/>
    <w:rPr/>
  </w:style>
  <w:style w:type="character" w:styleId="Style21" w:customStyle="1">
    <w:name w:val="Название Знак"/>
    <w:link w:val="af5"/>
    <w:qFormat/>
    <w:rsid w:val="000c71fa"/>
    <w:rPr>
      <w:rFonts w:ascii="XO Thames" w:hAnsi="XO Thames"/>
      <w:b/>
      <w:sz w:val="52"/>
    </w:rPr>
  </w:style>
  <w:style w:type="character" w:styleId="42" w:customStyle="1">
    <w:name w:val="Заголовок 4 Знак"/>
    <w:link w:val="4"/>
    <w:qFormat/>
    <w:rsid w:val="000c71fa"/>
    <w:rPr>
      <w:rFonts w:ascii="XO Thames" w:hAnsi="XO Thames"/>
      <w:b/>
      <w:color w:val="595959"/>
      <w:sz w:val="26"/>
    </w:rPr>
  </w:style>
  <w:style w:type="character" w:styleId="Style22" w:customStyle="1">
    <w:name w:val="Список Знак"/>
    <w:basedOn w:val="Style9"/>
    <w:link w:val="afe"/>
    <w:qFormat/>
    <w:rsid w:val="000c71fa"/>
    <w:rPr>
      <w:rFonts w:ascii="PT Sans" w:hAnsi="PT Sans"/>
      <w:color w:val="000000"/>
      <w:sz w:val="20"/>
    </w:rPr>
  </w:style>
  <w:style w:type="character" w:styleId="FontStyle19" w:customStyle="1">
    <w:name w:val="Font Style19"/>
    <w:link w:val="FontStyle19"/>
    <w:qFormat/>
    <w:rsid w:val="000c71fa"/>
    <w:rPr>
      <w:rFonts w:ascii="Times New Roman" w:hAnsi="Times New Roman"/>
      <w:sz w:val="22"/>
    </w:rPr>
  </w:style>
  <w:style w:type="character" w:styleId="23" w:customStyle="1">
    <w:name w:val="Заголовок 2 Знак"/>
    <w:link w:val="2"/>
    <w:qFormat/>
    <w:rsid w:val="000c71fa"/>
    <w:rPr>
      <w:rFonts w:ascii="XO Thames" w:hAnsi="XO Thames"/>
      <w:b/>
      <w:color w:val="00A0FF"/>
      <w:sz w:val="26"/>
    </w:rPr>
  </w:style>
  <w:style w:type="character" w:styleId="WW8Num2z1" w:customStyle="1">
    <w:name w:val="WW8Num2z1"/>
    <w:link w:val="WW8Num2z1"/>
    <w:qFormat/>
    <w:rsid w:val="000c71fa"/>
    <w:rPr>
      <w:color w:val="000000"/>
      <w:spacing w:val="1"/>
      <w:sz w:val="24"/>
    </w:rPr>
  </w:style>
  <w:style w:type="character" w:styleId="ConsPlusNormal" w:customStyle="1">
    <w:name w:val="ConsPlusNormal"/>
    <w:link w:val="ConsPlusNormal"/>
    <w:qFormat/>
    <w:rsid w:val="000c71fa"/>
    <w:rPr>
      <w:rFonts w:ascii="Arial" w:hAnsi="Arial"/>
      <w:color w:val="000000"/>
      <w:sz w:val="20"/>
    </w:rPr>
  </w:style>
  <w:style w:type="character" w:styleId="Style23">
    <w:name w:val="Символ нумерации"/>
    <w:qFormat/>
    <w:rPr/>
  </w:style>
  <w:style w:type="paragraph" w:styleId="Style24">
    <w:name w:val="Заголовок"/>
    <w:basedOn w:val="Normal"/>
    <w:next w:val="Style25"/>
    <w:qFormat/>
    <w:pPr>
      <w:keepNext w:val="true"/>
      <w:spacing w:before="240" w:after="120"/>
    </w:pPr>
    <w:rPr>
      <w:rFonts w:ascii="PT Sans" w:hAnsi="PT Sans" w:eastAsia="Tahoma" w:cs="Noto Sans Devanagari"/>
      <w:sz w:val="28"/>
      <w:szCs w:val="28"/>
    </w:rPr>
  </w:style>
  <w:style w:type="paragraph" w:styleId="Style25">
    <w:name w:val="Body Text"/>
    <w:basedOn w:val="Normal"/>
    <w:link w:val="a4"/>
    <w:rsid w:val="000c71fa"/>
    <w:pPr>
      <w:spacing w:lineRule="auto" w:line="276" w:before="0" w:after="140"/>
    </w:pPr>
    <w:rPr/>
  </w:style>
  <w:style w:type="paragraph" w:styleId="Style26">
    <w:name w:val="List"/>
    <w:basedOn w:val="Style25"/>
    <w:link w:val="aff"/>
    <w:rsid w:val="000c71fa"/>
    <w:pPr/>
    <w:rPr>
      <w:rFonts w:ascii="PT Sans" w:hAnsi="PT Sans"/>
    </w:rPr>
  </w:style>
  <w:style w:type="paragraph" w:styleId="Style27">
    <w:name w:val="Caption"/>
    <w:basedOn w:val="Normal"/>
    <w:qFormat/>
    <w:pPr>
      <w:suppressLineNumbers/>
      <w:spacing w:before="120" w:after="120"/>
    </w:pPr>
    <w:rPr>
      <w:rFonts w:ascii="PT Sans" w:hAnsi="PT Sans" w:cs="Noto Sans Devanagari"/>
      <w:i/>
      <w:iCs/>
      <w:sz w:val="24"/>
      <w:szCs w:val="24"/>
    </w:rPr>
  </w:style>
  <w:style w:type="paragraph" w:styleId="Style28">
    <w:name w:val="Указатель"/>
    <w:basedOn w:val="Normal"/>
    <w:qFormat/>
    <w:pPr>
      <w:suppressLineNumbers/>
    </w:pPr>
    <w:rPr>
      <w:rFonts w:ascii="PT Sans" w:hAnsi="PT Sans" w:cs="Noto Sans Devanagari"/>
    </w:rPr>
  </w:style>
  <w:style w:type="paragraph" w:styleId="24">
    <w:name w:val="TOC 2"/>
    <w:link w:val="22"/>
    <w:uiPriority w:val="39"/>
    <w:rsid w:val="000c71fa"/>
    <w:pPr>
      <w:widowControl/>
      <w:suppressAutoHyphens w:val="true"/>
      <w:bidi w:val="0"/>
      <w:spacing w:before="0" w:after="0"/>
      <w:ind w:left="200" w:hanging="0"/>
      <w:jc w:val="left"/>
    </w:pPr>
    <w:rPr>
      <w:rFonts w:ascii="Times New Roman" w:hAnsi="Times New Roman" w:eastAsia="Times New Roman" w:cs="Times New Roman"/>
      <w:color w:val="000000"/>
      <w:kern w:val="0"/>
      <w:sz w:val="20"/>
      <w:szCs w:val="20"/>
      <w:lang w:val="ru-RU" w:eastAsia="ru-RU" w:bidi="ar-SA"/>
    </w:rPr>
  </w:style>
  <w:style w:type="paragraph" w:styleId="25" w:customStyle="1">
    <w:name w:val="Основной текст с отступом 2 Знак"/>
    <w:link w:val="24"/>
    <w:qFormat/>
    <w:rsid w:val="000c71fa"/>
    <w:pPr>
      <w:widowControl/>
      <w:suppressAutoHyphens w:val="true"/>
      <w:bidi w:val="0"/>
      <w:spacing w:before="0" w:after="0"/>
      <w:jc w:val="left"/>
    </w:pPr>
    <w:rPr>
      <w:rFonts w:ascii="Times New Roman" w:hAnsi="Times New Roman" w:eastAsia="Times New Roman" w:cs="Times New Roman"/>
      <w:color w:val="000000"/>
      <w:spacing w:val="-5"/>
      <w:kern w:val="0"/>
      <w:sz w:val="28"/>
      <w:szCs w:val="20"/>
      <w:highlight w:val="white"/>
      <w:lang w:val="ru-RU" w:eastAsia="ru-RU" w:bidi="ar-SA"/>
    </w:rPr>
  </w:style>
  <w:style w:type="paragraph" w:styleId="43">
    <w:name w:val="TOC 4"/>
    <w:link w:val="42"/>
    <w:uiPriority w:val="39"/>
    <w:rsid w:val="000c71fa"/>
    <w:pPr>
      <w:widowControl/>
      <w:suppressAutoHyphens w:val="true"/>
      <w:bidi w:val="0"/>
      <w:spacing w:before="0" w:after="0"/>
      <w:ind w:left="600" w:hanging="0"/>
      <w:jc w:val="left"/>
    </w:pPr>
    <w:rPr>
      <w:rFonts w:ascii="Times New Roman" w:hAnsi="Times New Roman" w:eastAsia="Times New Roman" w:cs="Times New Roman"/>
      <w:color w:val="000000"/>
      <w:kern w:val="0"/>
      <w:sz w:val="20"/>
      <w:szCs w:val="20"/>
      <w:lang w:val="ru-RU" w:eastAsia="ru-RU" w:bidi="ar-SA"/>
    </w:rPr>
  </w:style>
  <w:style w:type="paragraph" w:styleId="Style29" w:customStyle="1">
    <w:name w:val="Верхний и нижний колонтитулы"/>
    <w:link w:val="HeaderandFooter0"/>
    <w:qFormat/>
    <w:rsid w:val="000c71fa"/>
    <w:pPr>
      <w:widowControl/>
      <w:suppressAutoHyphens w:val="true"/>
      <w:bidi w:val="0"/>
      <w:spacing w:lineRule="auto" w:line="360" w:before="0" w:after="0"/>
      <w:jc w:val="left"/>
    </w:pPr>
    <w:rPr>
      <w:rFonts w:ascii="XO Thames" w:hAnsi="XO Thames" w:eastAsia="Times New Roman" w:cs="Times New Roman"/>
      <w:color w:val="000000"/>
      <w:kern w:val="0"/>
      <w:sz w:val="20"/>
      <w:szCs w:val="20"/>
      <w:lang w:val="ru-RU" w:eastAsia="ru-RU" w:bidi="ar-SA"/>
    </w:rPr>
  </w:style>
  <w:style w:type="paragraph" w:styleId="Style30">
    <w:name w:val="Header"/>
    <w:basedOn w:val="Normal"/>
    <w:link w:val="a6"/>
    <w:rsid w:val="000c71fa"/>
    <w:pPr>
      <w:tabs>
        <w:tab w:val="clear" w:pos="708"/>
        <w:tab w:val="center" w:pos="4677" w:leader="none"/>
        <w:tab w:val="right" w:pos="9355" w:leader="none"/>
      </w:tabs>
    </w:pPr>
    <w:rPr/>
  </w:style>
  <w:style w:type="paragraph" w:styleId="61">
    <w:name w:val="TOC 6"/>
    <w:link w:val="60"/>
    <w:uiPriority w:val="39"/>
    <w:rsid w:val="000c71fa"/>
    <w:pPr>
      <w:widowControl/>
      <w:suppressAutoHyphens w:val="true"/>
      <w:bidi w:val="0"/>
      <w:spacing w:before="0" w:after="0"/>
      <w:ind w:left="1000" w:hanging="0"/>
      <w:jc w:val="left"/>
    </w:pPr>
    <w:rPr>
      <w:rFonts w:ascii="Times New Roman" w:hAnsi="Times New Roman" w:eastAsia="Times New Roman" w:cs="Times New Roman"/>
      <w:color w:val="000000"/>
      <w:kern w:val="0"/>
      <w:sz w:val="20"/>
      <w:szCs w:val="20"/>
      <w:lang w:val="ru-RU" w:eastAsia="ru-RU" w:bidi="ar-SA"/>
    </w:rPr>
  </w:style>
  <w:style w:type="paragraph" w:styleId="16" w:customStyle="1">
    <w:name w:val="Заголовок 1 Знак"/>
    <w:link w:val="13"/>
    <w:qFormat/>
    <w:rsid w:val="000c71fa"/>
    <w:pPr>
      <w:widowControl/>
      <w:suppressAutoHyphens w:val="true"/>
      <w:bidi w:val="0"/>
      <w:spacing w:before="0" w:after="0"/>
      <w:jc w:val="left"/>
    </w:pPr>
    <w:rPr>
      <w:rFonts w:ascii="Times New Roman" w:hAnsi="Times New Roman" w:eastAsia="Times New Roman" w:cs="Times New Roman"/>
      <w:color w:val="000000"/>
      <w:kern w:val="0"/>
      <w:sz w:val="24"/>
      <w:szCs w:val="20"/>
      <w:lang w:val="ru-RU" w:eastAsia="ru-RU" w:bidi="ar-SA"/>
    </w:rPr>
  </w:style>
  <w:style w:type="paragraph" w:styleId="71">
    <w:name w:val="TOC 7"/>
    <w:link w:val="70"/>
    <w:uiPriority w:val="39"/>
    <w:rsid w:val="000c71fa"/>
    <w:pPr>
      <w:widowControl/>
      <w:suppressAutoHyphens w:val="true"/>
      <w:bidi w:val="0"/>
      <w:spacing w:before="0" w:after="0"/>
      <w:ind w:left="1200" w:hanging="0"/>
      <w:jc w:val="left"/>
    </w:pPr>
    <w:rPr>
      <w:rFonts w:ascii="Times New Roman" w:hAnsi="Times New Roman" w:eastAsia="Times New Roman" w:cs="Times New Roman"/>
      <w:color w:val="000000"/>
      <w:kern w:val="0"/>
      <w:sz w:val="20"/>
      <w:szCs w:val="20"/>
      <w:lang w:val="ru-RU" w:eastAsia="ru-RU" w:bidi="ar-SA"/>
    </w:rPr>
  </w:style>
  <w:style w:type="paragraph" w:styleId="Style31">
    <w:name w:val="Footer"/>
    <w:basedOn w:val="Normal"/>
    <w:link w:val="14"/>
    <w:rsid w:val="000c71fa"/>
    <w:pPr>
      <w:tabs>
        <w:tab w:val="clear" w:pos="708"/>
        <w:tab w:val="center" w:pos="4677" w:leader="none"/>
        <w:tab w:val="right" w:pos="9355" w:leader="none"/>
      </w:tabs>
    </w:pPr>
    <w:rPr/>
  </w:style>
  <w:style w:type="paragraph" w:styleId="Indexheading">
    <w:name w:val="index heading"/>
    <w:basedOn w:val="Normal"/>
    <w:link w:val="a9"/>
    <w:qFormat/>
    <w:rsid w:val="000c71fa"/>
    <w:pPr/>
    <w:rPr>
      <w:rFonts w:ascii="PT Sans" w:hAnsi="PT Sans"/>
    </w:rPr>
  </w:style>
  <w:style w:type="paragraph" w:styleId="Style32" w:customStyle="1">
    <w:name w:val="Содержимое таблицы"/>
    <w:basedOn w:val="Normal"/>
    <w:link w:val="ad"/>
    <w:qFormat/>
    <w:rsid w:val="000c71fa"/>
    <w:pPr/>
    <w:rPr/>
  </w:style>
  <w:style w:type="paragraph" w:styleId="Style33" w:customStyle="1">
    <w:name w:val="Заголовок таблицы"/>
    <w:basedOn w:val="Style32"/>
    <w:link w:val="ac"/>
    <w:qFormat/>
    <w:rsid w:val="000c71fa"/>
    <w:pPr>
      <w:jc w:val="center"/>
    </w:pPr>
    <w:rPr>
      <w:b/>
    </w:rPr>
  </w:style>
  <w:style w:type="paragraph" w:styleId="Style34">
    <w:name w:val="Body Text Indent"/>
    <w:basedOn w:val="Normal"/>
    <w:link w:val="af"/>
    <w:rsid w:val="000c71fa"/>
    <w:pPr>
      <w:ind w:firstLine="709"/>
      <w:jc w:val="both"/>
    </w:pPr>
    <w:rPr>
      <w:spacing w:val="-5"/>
      <w:sz w:val="28"/>
    </w:rPr>
  </w:style>
  <w:style w:type="paragraph" w:styleId="Style35" w:customStyle="1">
    <w:name w:val="Нижний колонтитул Знак"/>
    <w:basedOn w:val="18"/>
    <w:link w:val="af1"/>
    <w:qFormat/>
    <w:rsid w:val="000c71fa"/>
    <w:pPr/>
    <w:rPr/>
  </w:style>
  <w:style w:type="paragraph" w:styleId="Caption">
    <w:name w:val="caption"/>
    <w:basedOn w:val="Normal"/>
    <w:link w:val="af3"/>
    <w:qFormat/>
    <w:rsid w:val="000c71fa"/>
    <w:pPr>
      <w:spacing w:before="120" w:after="120"/>
    </w:pPr>
    <w:rPr>
      <w:rFonts w:ascii="PT Sans" w:hAnsi="PT Sans"/>
      <w:i/>
      <w:sz w:val="24"/>
    </w:rPr>
  </w:style>
  <w:style w:type="paragraph" w:styleId="17" w:customStyle="1">
    <w:name w:val="Номер страницы1"/>
    <w:basedOn w:val="18"/>
    <w:link w:val="af4"/>
    <w:qFormat/>
    <w:rsid w:val="000c71fa"/>
    <w:pPr/>
    <w:rPr/>
  </w:style>
  <w:style w:type="paragraph" w:styleId="33">
    <w:name w:val="TOC 3"/>
    <w:link w:val="32"/>
    <w:uiPriority w:val="39"/>
    <w:rsid w:val="000c71fa"/>
    <w:pPr>
      <w:widowControl/>
      <w:suppressAutoHyphens w:val="true"/>
      <w:bidi w:val="0"/>
      <w:spacing w:before="0" w:after="0"/>
      <w:ind w:left="400" w:hanging="0"/>
      <w:jc w:val="left"/>
    </w:pPr>
    <w:rPr>
      <w:rFonts w:ascii="Times New Roman" w:hAnsi="Times New Roman" w:eastAsia="Times New Roman" w:cs="Times New Roman"/>
      <w:color w:val="000000"/>
      <w:kern w:val="0"/>
      <w:sz w:val="20"/>
      <w:szCs w:val="20"/>
      <w:lang w:val="ru-RU" w:eastAsia="ru-RU" w:bidi="ar-SA"/>
    </w:rPr>
  </w:style>
  <w:style w:type="paragraph" w:styleId="18" w:customStyle="1">
    <w:name w:val="Основной шрифт абзаца1"/>
    <w:link w:val="af5"/>
    <w:qFormat/>
    <w:rsid w:val="000c71fa"/>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Style36">
    <w:name w:val="Title"/>
    <w:link w:val="af6"/>
    <w:uiPriority w:val="10"/>
    <w:qFormat/>
    <w:rsid w:val="000c71fa"/>
    <w:pPr>
      <w:widowControl/>
      <w:suppressAutoHyphens w:val="true"/>
      <w:bidi w:val="0"/>
      <w:spacing w:before="0" w:after="0"/>
      <w:jc w:val="left"/>
    </w:pPr>
    <w:rPr>
      <w:rFonts w:ascii="XO Thames" w:hAnsi="XO Thames" w:eastAsia="Times New Roman" w:cs="Times New Roman"/>
      <w:b/>
      <w:color w:val="000000"/>
      <w:kern w:val="0"/>
      <w:sz w:val="52"/>
      <w:szCs w:val="20"/>
      <w:lang w:val="ru-RU" w:eastAsia="ru-RU" w:bidi="ar-SA"/>
    </w:rPr>
  </w:style>
  <w:style w:type="paragraph" w:styleId="ConsPlusNonformat1" w:customStyle="1">
    <w:name w:val="ConsPlusNonformat"/>
    <w:link w:val="ConsPlusNonformat0"/>
    <w:qFormat/>
    <w:rsid w:val="000c71fa"/>
    <w:pPr>
      <w:widowControl w:val="false"/>
      <w:suppressAutoHyphens w:val="true"/>
      <w:bidi w:val="0"/>
      <w:spacing w:before="0" w:after="0"/>
      <w:jc w:val="left"/>
    </w:pPr>
    <w:rPr>
      <w:rFonts w:ascii="Courier New" w:hAnsi="Courier New" w:eastAsia="Times New Roman" w:cs="Times New Roman"/>
      <w:color w:val="000000"/>
      <w:kern w:val="0"/>
      <w:sz w:val="20"/>
      <w:szCs w:val="20"/>
      <w:lang w:val="ru-RU" w:eastAsia="ru-RU" w:bidi="ar-SA"/>
    </w:rPr>
  </w:style>
  <w:style w:type="paragraph" w:styleId="WW8Num2z01" w:customStyle="1">
    <w:name w:val="WW8Num2z0"/>
    <w:link w:val="WW8Num2z00"/>
    <w:qFormat/>
    <w:rsid w:val="000c71fa"/>
    <w:pPr>
      <w:widowControl/>
      <w:suppressAutoHyphens w:val="true"/>
      <w:bidi w:val="0"/>
      <w:spacing w:before="0" w:after="0"/>
      <w:jc w:val="left"/>
    </w:pPr>
    <w:rPr>
      <w:rFonts w:ascii="Times New Roman" w:hAnsi="Times New Roman" w:eastAsia="Times New Roman" w:cs="Times New Roman"/>
      <w:b/>
      <w:color w:val="000000"/>
      <w:kern w:val="0"/>
      <w:sz w:val="24"/>
      <w:szCs w:val="20"/>
      <w:lang w:val="ru-RU" w:eastAsia="ru-RU" w:bidi="ar-SA"/>
    </w:rPr>
  </w:style>
  <w:style w:type="paragraph" w:styleId="19" w:customStyle="1">
    <w:name w:val="Гиперссылка1"/>
    <w:link w:val="af7"/>
    <w:qFormat/>
    <w:rsid w:val="000c71fa"/>
    <w:pPr>
      <w:widowControl/>
      <w:suppressAutoHyphens w:val="true"/>
      <w:bidi w:val="0"/>
      <w:spacing w:before="0" w:after="0"/>
      <w:jc w:val="left"/>
    </w:pPr>
    <w:rPr>
      <w:rFonts w:ascii="Times New Roman" w:hAnsi="Times New Roman" w:eastAsia="Times New Roman" w:cs="Times New Roman"/>
      <w:color w:val="0000FF"/>
      <w:kern w:val="0"/>
      <w:sz w:val="20"/>
      <w:szCs w:val="20"/>
      <w:u w:val="single"/>
      <w:lang w:val="ru-RU" w:eastAsia="ru-RU" w:bidi="ar-SA"/>
    </w:rPr>
  </w:style>
  <w:style w:type="paragraph" w:styleId="Footnote1" w:customStyle="1">
    <w:name w:val="Footnote"/>
    <w:link w:val="Footnote0"/>
    <w:qFormat/>
    <w:rsid w:val="000c71fa"/>
    <w:pPr>
      <w:widowControl/>
      <w:suppressAutoHyphens w:val="true"/>
      <w:bidi w:val="0"/>
      <w:spacing w:before="0" w:after="0"/>
      <w:jc w:val="left"/>
    </w:pPr>
    <w:rPr>
      <w:rFonts w:ascii="XO Thames" w:hAnsi="XO Thames" w:eastAsia="Times New Roman" w:cs="Times New Roman"/>
      <w:color w:val="000000"/>
      <w:kern w:val="0"/>
      <w:sz w:val="22"/>
      <w:szCs w:val="20"/>
      <w:lang w:val="ru-RU" w:eastAsia="ru-RU" w:bidi="ar-SA"/>
    </w:rPr>
  </w:style>
  <w:style w:type="paragraph" w:styleId="110">
    <w:name w:val="TOC 1"/>
    <w:link w:val="1a"/>
    <w:uiPriority w:val="39"/>
    <w:rsid w:val="000c71fa"/>
    <w:pPr>
      <w:widowControl/>
      <w:suppressAutoHyphens w:val="true"/>
      <w:bidi w:val="0"/>
      <w:spacing w:before="0" w:after="0"/>
      <w:jc w:val="left"/>
    </w:pPr>
    <w:rPr>
      <w:rFonts w:ascii="XO Thames" w:hAnsi="XO Thames" w:eastAsia="Times New Roman" w:cs="Times New Roman"/>
      <w:b/>
      <w:color w:val="000000"/>
      <w:kern w:val="0"/>
      <w:sz w:val="20"/>
      <w:szCs w:val="20"/>
      <w:lang w:val="ru-RU" w:eastAsia="ru-RU" w:bidi="ar-SA"/>
    </w:rPr>
  </w:style>
  <w:style w:type="paragraph" w:styleId="91">
    <w:name w:val="TOC 9"/>
    <w:link w:val="90"/>
    <w:uiPriority w:val="39"/>
    <w:rsid w:val="000c71fa"/>
    <w:pPr>
      <w:widowControl/>
      <w:suppressAutoHyphens w:val="true"/>
      <w:bidi w:val="0"/>
      <w:spacing w:before="0" w:after="0"/>
      <w:ind w:left="1600" w:hanging="0"/>
      <w:jc w:val="left"/>
    </w:pPr>
    <w:rPr>
      <w:rFonts w:ascii="Times New Roman" w:hAnsi="Times New Roman" w:eastAsia="Times New Roman" w:cs="Times New Roman"/>
      <w:color w:val="000000"/>
      <w:kern w:val="0"/>
      <w:sz w:val="20"/>
      <w:szCs w:val="20"/>
      <w:lang w:val="ru-RU" w:eastAsia="ru-RU" w:bidi="ar-SA"/>
    </w:rPr>
  </w:style>
  <w:style w:type="paragraph" w:styleId="BodyTextIndent2">
    <w:name w:val="Body Text Indent 2"/>
    <w:basedOn w:val="Normal"/>
    <w:link w:val="210"/>
    <w:qFormat/>
    <w:rsid w:val="000c71fa"/>
    <w:pPr>
      <w:tabs>
        <w:tab w:val="clear" w:pos="708"/>
        <w:tab w:val="left" w:pos="9072" w:leader="none"/>
      </w:tabs>
      <w:ind w:right="2" w:firstLine="709"/>
      <w:jc w:val="both"/>
    </w:pPr>
    <w:rPr>
      <w:spacing w:val="-5"/>
      <w:sz w:val="28"/>
    </w:rPr>
  </w:style>
  <w:style w:type="paragraph" w:styleId="81">
    <w:name w:val="TOC 8"/>
    <w:link w:val="80"/>
    <w:uiPriority w:val="39"/>
    <w:rsid w:val="000c71fa"/>
    <w:pPr>
      <w:widowControl/>
      <w:suppressAutoHyphens w:val="true"/>
      <w:bidi w:val="0"/>
      <w:spacing w:before="0" w:after="0"/>
      <w:ind w:left="1400" w:hanging="0"/>
      <w:jc w:val="left"/>
    </w:pPr>
    <w:rPr>
      <w:rFonts w:ascii="Times New Roman" w:hAnsi="Times New Roman" w:eastAsia="Times New Roman" w:cs="Times New Roman"/>
      <w:color w:val="000000"/>
      <w:kern w:val="0"/>
      <w:sz w:val="20"/>
      <w:szCs w:val="20"/>
      <w:lang w:val="ru-RU" w:eastAsia="ru-RU" w:bidi="ar-SA"/>
    </w:rPr>
  </w:style>
  <w:style w:type="paragraph" w:styleId="NoSpacing">
    <w:name w:val="No Spacing"/>
    <w:link w:val="af9"/>
    <w:qFormat/>
    <w:rsid w:val="000c71fa"/>
    <w:pPr>
      <w:widowControl/>
      <w:suppressAutoHyphens w:val="true"/>
      <w:bidi w:val="0"/>
      <w:spacing w:before="0" w:after="0"/>
      <w:jc w:val="left"/>
    </w:pPr>
    <w:rPr>
      <w:rFonts w:ascii="Calibri" w:hAnsi="Calibri" w:eastAsia="Times New Roman" w:cs="Times New Roman"/>
      <w:color w:val="000000"/>
      <w:kern w:val="0"/>
      <w:sz w:val="22"/>
      <w:szCs w:val="20"/>
      <w:lang w:val="ru-RU" w:eastAsia="ru-RU" w:bidi="ar-SA"/>
    </w:rPr>
  </w:style>
  <w:style w:type="paragraph" w:styleId="BalloonText">
    <w:name w:val="Balloon Text"/>
    <w:basedOn w:val="Normal"/>
    <w:link w:val="afb"/>
    <w:qFormat/>
    <w:rsid w:val="000c71fa"/>
    <w:pPr/>
    <w:rPr>
      <w:rFonts w:ascii="Tahoma" w:hAnsi="Tahoma"/>
      <w:sz w:val="16"/>
    </w:rPr>
  </w:style>
  <w:style w:type="paragraph" w:styleId="53">
    <w:name w:val="TOC 5"/>
    <w:link w:val="52"/>
    <w:uiPriority w:val="39"/>
    <w:rsid w:val="000c71fa"/>
    <w:pPr>
      <w:widowControl/>
      <w:suppressAutoHyphens w:val="true"/>
      <w:bidi w:val="0"/>
      <w:spacing w:before="0" w:after="0"/>
      <w:ind w:left="800" w:hanging="0"/>
      <w:jc w:val="left"/>
    </w:pPr>
    <w:rPr>
      <w:rFonts w:ascii="Times New Roman" w:hAnsi="Times New Roman" w:eastAsia="Times New Roman" w:cs="Times New Roman"/>
      <w:color w:val="000000"/>
      <w:kern w:val="0"/>
      <w:sz w:val="20"/>
      <w:szCs w:val="20"/>
      <w:lang w:val="ru-RU" w:eastAsia="ru-RU" w:bidi="ar-SA"/>
    </w:rPr>
  </w:style>
  <w:style w:type="paragraph" w:styleId="WW8Num1z01" w:customStyle="1">
    <w:name w:val="WW8Num1z0"/>
    <w:link w:val="WW8Num1z00"/>
    <w:qFormat/>
    <w:rsid w:val="000c71fa"/>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Style37">
    <w:name w:val="Subtitle"/>
    <w:link w:val="afd"/>
    <w:uiPriority w:val="11"/>
    <w:qFormat/>
    <w:rsid w:val="000c71fa"/>
    <w:pPr>
      <w:widowControl/>
      <w:suppressAutoHyphens w:val="true"/>
      <w:bidi w:val="0"/>
      <w:spacing w:before="0" w:after="0"/>
      <w:jc w:val="left"/>
    </w:pPr>
    <w:rPr>
      <w:rFonts w:ascii="XO Thames" w:hAnsi="XO Thames" w:eastAsia="Times New Roman" w:cs="Times New Roman"/>
      <w:i/>
      <w:color w:val="616161"/>
      <w:kern w:val="0"/>
      <w:sz w:val="24"/>
      <w:szCs w:val="20"/>
      <w:lang w:val="ru-RU" w:eastAsia="ru-RU" w:bidi="ar-SA"/>
    </w:rPr>
  </w:style>
  <w:style w:type="paragraph" w:styleId="Toc101" w:customStyle="1">
    <w:name w:val="toc 10"/>
    <w:link w:val="toc100"/>
    <w:uiPriority w:val="39"/>
    <w:qFormat/>
    <w:rsid w:val="000c71fa"/>
    <w:pPr>
      <w:widowControl/>
      <w:suppressAutoHyphens w:val="true"/>
      <w:bidi w:val="0"/>
      <w:spacing w:before="0" w:after="0"/>
      <w:ind w:left="1800" w:hanging="0"/>
      <w:jc w:val="left"/>
    </w:pPr>
    <w:rPr>
      <w:rFonts w:ascii="Times New Roman" w:hAnsi="Times New Roman" w:eastAsia="Times New Roman" w:cs="Times New Roman"/>
      <w:color w:val="000000"/>
      <w:kern w:val="0"/>
      <w:sz w:val="20"/>
      <w:szCs w:val="20"/>
      <w:lang w:val="ru-RU" w:eastAsia="ru-RU" w:bidi="ar-SA"/>
    </w:rPr>
  </w:style>
  <w:style w:type="paragraph" w:styleId="26" w:customStyle="1">
    <w:name w:val="Основной шрифт абзаца2"/>
    <w:link w:val="af5"/>
    <w:qFormat/>
    <w:rsid w:val="000c71fa"/>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FontStyle191" w:customStyle="1">
    <w:name w:val="Font Style19"/>
    <w:link w:val="FontStyle190"/>
    <w:qFormat/>
    <w:rsid w:val="000c71fa"/>
    <w:pPr>
      <w:widowControl/>
      <w:suppressAutoHyphens w:val="true"/>
      <w:bidi w:val="0"/>
      <w:spacing w:before="0" w:after="0"/>
      <w:jc w:val="left"/>
    </w:pPr>
    <w:rPr>
      <w:rFonts w:ascii="Times New Roman" w:hAnsi="Times New Roman" w:eastAsia="Times New Roman" w:cs="Times New Roman"/>
      <w:color w:val="000000"/>
      <w:kern w:val="0"/>
      <w:sz w:val="22"/>
      <w:szCs w:val="20"/>
      <w:lang w:val="ru-RU" w:eastAsia="ru-RU" w:bidi="ar-SA"/>
    </w:rPr>
  </w:style>
  <w:style w:type="paragraph" w:styleId="WW8Num2z11" w:customStyle="1">
    <w:name w:val="WW8Num2z1"/>
    <w:link w:val="WW8Num2z10"/>
    <w:qFormat/>
    <w:rsid w:val="000c71fa"/>
    <w:pPr>
      <w:widowControl/>
      <w:suppressAutoHyphens w:val="true"/>
      <w:bidi w:val="0"/>
      <w:spacing w:before="0" w:after="0"/>
      <w:jc w:val="left"/>
    </w:pPr>
    <w:rPr>
      <w:rFonts w:ascii="Times New Roman" w:hAnsi="Times New Roman" w:eastAsia="Times New Roman" w:cs="Times New Roman"/>
      <w:color w:val="000000"/>
      <w:spacing w:val="1"/>
      <w:kern w:val="0"/>
      <w:sz w:val="24"/>
      <w:szCs w:val="20"/>
      <w:lang w:val="ru-RU" w:eastAsia="ru-RU" w:bidi="ar-SA"/>
    </w:rPr>
  </w:style>
  <w:style w:type="paragraph" w:styleId="ConsPlusNormal1" w:customStyle="1">
    <w:name w:val="ConsPlusNormal"/>
    <w:link w:val="ConsPlusNormal0"/>
    <w:qFormat/>
    <w:rsid w:val="000c71fa"/>
    <w:pPr>
      <w:widowControl/>
      <w:suppressAutoHyphens w:val="true"/>
      <w:bidi w:val="0"/>
      <w:spacing w:before="0" w:after="0"/>
      <w:jc w:val="left"/>
    </w:pPr>
    <w:rPr>
      <w:rFonts w:ascii="Arial" w:hAnsi="Arial" w:eastAsia="Times New Roman" w:cs="Times New Roman"/>
      <w:color w:val="000000"/>
      <w:kern w:val="0"/>
      <w:sz w:val="20"/>
      <w:szCs w:val="20"/>
      <w:lang w:val="ru-RU" w:eastAsia="ru-RU" w:bidi="ar-SA"/>
    </w:rPr>
  </w:style>
  <w:style w:type="numbering" w:styleId="NoList" w:default="1">
    <w:name w:val="No List"/>
    <w:uiPriority w:val="99"/>
    <w:semiHidden/>
    <w:unhideWhenUsed/>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911061-92CE-44AD-9F53-96BEC368E6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Application>LibreOffice/6.4.7.2$Linux_X86_64 LibreOffice_project/40$Build-2</Application>
  <Pages>7</Pages>
  <Words>2372</Words>
  <Characters>17522</Characters>
  <CharactersWithSpaces>19856</CharactersWithSpaces>
  <Paragraphs>97</Paragraphs>
  <Company>Reanimator Extreme Edition</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2020-02-12T00:52:00Z</dcterms:created>
  <dc:creator/>
  <dc:description/>
  <dc:language>ru-RU</dc:language>
  <cp:lastModifiedBy/>
  <cp:lastPrinted>2023-02-02T03:59:00Z</cp:lastPrinted>
  <dcterms:modified xsi:type="dcterms:W3CDTF">2025-06-19T12:01:57Z</dcterms:modified>
  <cp:revision>18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Reanimator Extreme Edition</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