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3.xml" ContentType="application/vnd.openxmlformats-officedocument.wordprocessingml.header+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PT Astra Serif" w:hAnsi="PT Astra Serif"/>
        </w:rPr>
      </w:pPr>
      <w:r>
        <w:rPr>
          <w:rFonts w:ascii="PT Astra Serif" w:hAnsi="PT Astra Serif"/>
          <w:b/>
        </w:rPr>
        <w:t>Договор № 53/М</w:t>
      </w:r>
    </w:p>
    <w:p>
      <w:pPr>
        <w:pStyle w:val="Normal"/>
        <w:spacing w:lineRule="auto" w:line="240" w:before="0" w:after="0"/>
        <w:jc w:val="center"/>
        <w:rPr>
          <w:rFonts w:ascii="PT Astra Serif" w:hAnsi="PT Astra Serif"/>
        </w:rPr>
      </w:pPr>
      <w:r>
        <w:rPr>
          <w:rFonts w:ascii="PT Astra Serif" w:hAnsi="PT Astra Serif"/>
          <w:i/>
        </w:rPr>
        <w:t>мониторинга технических средств охраны, установленных на объектах</w:t>
      </w:r>
    </w:p>
    <w:p>
      <w:pPr>
        <w:pStyle w:val="Normal"/>
        <w:spacing w:lineRule="auto" w:line="240" w:before="0" w:after="0"/>
        <w:jc w:val="center"/>
        <w:rPr>
          <w:rFonts w:ascii="PT Astra Serif" w:hAnsi="PT Astra Serif"/>
        </w:rPr>
      </w:pPr>
      <w:r>
        <w:rPr>
          <w:rFonts w:ascii="PT Astra Serif" w:hAnsi="PT Astra Serif"/>
        </w:rPr>
      </w:r>
    </w:p>
    <w:tbl>
      <w:tblPr>
        <w:tblW w:w="9640" w:type="dxa"/>
        <w:jc w:val="left"/>
        <w:tblInd w:w="-141" w:type="dxa"/>
        <w:tblCellMar>
          <w:top w:w="0" w:type="dxa"/>
          <w:left w:w="108" w:type="dxa"/>
          <w:bottom w:w="0" w:type="dxa"/>
          <w:right w:w="108" w:type="dxa"/>
        </w:tblCellMar>
        <w:tblLook w:val="04a0" w:noHBand="0" w:noVBand="1" w:firstColumn="1" w:lastRow="0" w:lastColumn="0" w:firstRow="1"/>
      </w:tblPr>
      <w:tblGrid>
        <w:gridCol w:w="4754"/>
        <w:gridCol w:w="4885"/>
      </w:tblGrid>
      <w:tr>
        <w:trPr/>
        <w:tc>
          <w:tcPr>
            <w:tcW w:w="4754" w:type="dxa"/>
            <w:tcBorders/>
            <w:shd w:color="auto" w:fill="auto" w:val="clear"/>
          </w:tcPr>
          <w:p>
            <w:pPr>
              <w:pStyle w:val="Normal"/>
              <w:spacing w:lineRule="auto" w:line="240" w:before="0" w:after="0"/>
              <w:ind w:left="30" w:hanging="0"/>
              <w:rPr>
                <w:rFonts w:ascii="PT Astra Serif" w:hAnsi="PT Astra Serif"/>
              </w:rPr>
            </w:pPr>
            <w:r>
              <w:rPr>
                <w:rFonts w:ascii="PT Astra Serif" w:hAnsi="PT Astra Serif"/>
              </w:rPr>
              <w:t>пгт Вахрушев</w:t>
            </w:r>
          </w:p>
        </w:tc>
        <w:tc>
          <w:tcPr>
            <w:tcW w:w="4885" w:type="dxa"/>
            <w:tcBorders/>
            <w:shd w:color="auto" w:fill="auto" w:val="clear"/>
          </w:tcPr>
          <w:p>
            <w:pPr>
              <w:pStyle w:val="Normal"/>
              <w:spacing w:lineRule="auto" w:line="240" w:before="0" w:after="0"/>
              <w:ind w:right="4" w:hanging="0"/>
              <w:jc w:val="right"/>
              <w:rPr>
                <w:rFonts w:ascii="PT Astra Serif" w:hAnsi="PT Astra Serif"/>
              </w:rPr>
            </w:pPr>
            <w:r>
              <w:rPr>
                <w:rFonts w:ascii="PT Astra Serif" w:hAnsi="PT Astra Serif"/>
              </w:rPr>
              <w:t>«30» января  2025 г.</w:t>
            </w:r>
          </w:p>
        </w:tc>
      </w:tr>
    </w:tbl>
    <w:p>
      <w:pPr>
        <w:pStyle w:val="Normal"/>
        <w:spacing w:lineRule="auto" w:line="240" w:before="0" w:after="0"/>
        <w:jc w:val="center"/>
        <w:rPr>
          <w:rFonts w:ascii="PT Astra Serif" w:hAnsi="PT Astra Serif"/>
        </w:rPr>
      </w:pPr>
      <w:r>
        <w:rPr>
          <w:rFonts w:ascii="PT Astra Serif" w:hAnsi="PT Astra Serif"/>
        </w:rPr>
      </w:r>
    </w:p>
    <w:p>
      <w:pPr>
        <w:pStyle w:val="Normal"/>
        <w:spacing w:lineRule="auto" w:line="240" w:before="0" w:after="0"/>
        <w:ind w:firstLine="709"/>
        <w:jc w:val="both"/>
        <w:rPr/>
      </w:pPr>
      <w:r>
        <w:rPr>
          <w:rFonts w:ascii="PT Astra Serif" w:hAnsi="PT Astra Serif"/>
          <w:b/>
        </w:rPr>
        <w:t>Федеральное государственное казенное учреждение «Отдел вневедомственной охраны войск национальной гвардии Российской Федерации по Сахалинской области» (ФГКУ ОВО ВНГ России по Сахалинской области»)</w:t>
      </w:r>
      <w:r>
        <w:rPr>
          <w:rFonts w:ascii="PT Astra Serif" w:hAnsi="PT Astra Serif"/>
        </w:rPr>
        <w:t xml:space="preserve">, именуемое в дальнейшем "Исполнитель", в лице начальника Федерального государственного казенного учреждения «Отдел вневедомственной охраны войск национальной гвардии Российской Федерации по Сахалинской области» </w:t>
      </w:r>
      <w:r>
        <w:rPr>
          <w:rFonts w:ascii="PT Astra Serif" w:hAnsi="PT Astra Serif"/>
          <w:lang w:eastAsia="zh-CN"/>
        </w:rPr>
        <w:t>…………..</w:t>
      </w:r>
      <w:r>
        <w:rPr>
          <w:rFonts w:ascii="PT Astra Serif" w:hAnsi="PT Astra Serif"/>
        </w:rPr>
        <w:t>, действующего на основании …………….., с одной стороны, и ………….</w:t>
      </w:r>
      <w:r>
        <w:rPr>
          <w:rFonts w:ascii="PT Astra Serif" w:hAnsi="PT Astra Serif"/>
          <w:b/>
        </w:rPr>
        <w:t>,</w:t>
      </w:r>
      <w:r>
        <w:rPr>
          <w:rFonts w:ascii="PT Astra Serif" w:hAnsi="PT Astra Serif"/>
        </w:rPr>
        <w:t xml:space="preserve"> именуемое в дальнейшем "Заказчик", в лице ……………. , действующей на основании ………………..., с другой стороны, при одновременном упоминании именуемые "Стороны", пришли к взаимному соглашению о нижеследующем:</w:t>
      </w:r>
    </w:p>
    <w:p>
      <w:pPr>
        <w:pStyle w:val="Normal"/>
        <w:spacing w:lineRule="auto" w:line="240" w:before="0" w:after="0"/>
        <w:ind w:firstLine="709"/>
        <w:jc w:val="both"/>
        <w:rPr>
          <w:rFonts w:ascii="PT Astra Serif" w:hAnsi="PT Astra Serif"/>
        </w:rPr>
      </w:pPr>
      <w:r>
        <w:rPr>
          <w:rFonts w:ascii="PT Astra Serif" w:hAnsi="PT Astra Serif"/>
        </w:rPr>
      </w:r>
    </w:p>
    <w:p>
      <w:pPr>
        <w:pStyle w:val="ListParagraph"/>
        <w:numPr>
          <w:ilvl w:val="0"/>
          <w:numId w:val="1"/>
        </w:numPr>
        <w:spacing w:lineRule="auto" w:line="240" w:before="0" w:after="0"/>
        <w:ind w:left="0" w:hanging="0"/>
        <w:contextualSpacing/>
        <w:jc w:val="center"/>
        <w:rPr>
          <w:rFonts w:ascii="PT Astra Serif" w:hAnsi="PT Astra Serif"/>
        </w:rPr>
      </w:pPr>
      <w:r>
        <w:rPr>
          <w:rFonts w:ascii="PT Astra Serif" w:hAnsi="PT Astra Serif"/>
          <w:b/>
        </w:rPr>
        <w:t>Предмет договора.</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"Заказчик" поручает, а "Исполнитель" принимает на себя обязательства  по осуществлению мониторинга технических средств охраны (далее - ТСО), заключающиеся в наблюдении с помощью пульта централизованного наблюдения (далее – ПЦН) за срабатыванием исправных ТСО, установленных на объектах (в помещениях) "Заказчика" (далее – "Объект"), указанных в  "Перечне платных услуг на Объектах, передаваемых под наблюдение" (Приложение № 1 к настоящему Договору, которое является его неотъемлемой частью) и передачи сигналов «Тревога» поступающие с "Объекта" в дежурную часть ОМВД по Поронайскому городскому округу району. Перечень "Объектов" и их место нахождения, а также период оказания услуг по настоящему Договору устанавливается в Приложение №1 к настоящему Договору.</w:t>
      </w:r>
    </w:p>
    <w:p>
      <w:pPr>
        <w:pStyle w:val="ListParagraph"/>
        <w:numPr>
          <w:ilvl w:val="1"/>
          <w:numId w:val="1"/>
        </w:numPr>
        <w:shd w:val="clear" w:color="auto" w:fill="FFFFFF"/>
        <w:spacing w:lineRule="auto" w:line="240" w:before="0" w:after="0"/>
        <w:ind w:left="0" w:firstLine="709"/>
        <w:contextualSpacing/>
        <w:jc w:val="both"/>
        <w:rPr>
          <w:rFonts w:ascii="PT Astra Serif" w:hAnsi="PT Astra Serif" w:cs="PT Astra Serif"/>
          <w:color w:val="000000"/>
          <w:spacing w:val="2"/>
        </w:rPr>
      </w:pPr>
      <w:r>
        <w:rPr>
          <w:rFonts w:cs="PT Astra Serif" w:ascii="PT Astra Serif" w:hAnsi="PT Astra Serif"/>
          <w:color w:val="000000"/>
          <w:spacing w:val="2"/>
        </w:rPr>
        <w:t>Мониторинг обеспечивается на ПЦН путем наблюдения за состоянием исправных ТСО, установленных на "Объекте", с момента их постановки на ПЦН и до снятия с ПЦН, в пределах временного критерия, определенного Приложением № 1 к настоящему Договору.  Постановка ТСО в рабочий режим, а также снятие с него осуществляется "Заказчиком".</w:t>
      </w:r>
    </w:p>
    <w:p>
      <w:pPr>
        <w:pStyle w:val="Normal"/>
        <w:spacing w:lineRule="auto" w:line="240" w:before="0" w:after="0"/>
        <w:jc w:val="both"/>
        <w:rPr>
          <w:rFonts w:ascii="PT Astra Serif" w:hAnsi="PT Astra Serif"/>
        </w:rPr>
      </w:pPr>
      <w:r>
        <w:rPr>
          <w:rFonts w:ascii="PT Astra Serif" w:hAnsi="PT Astra Serif"/>
        </w:rPr>
      </w:r>
    </w:p>
    <w:p>
      <w:pPr>
        <w:pStyle w:val="ListParagraph"/>
        <w:numPr>
          <w:ilvl w:val="0"/>
          <w:numId w:val="1"/>
        </w:numPr>
        <w:spacing w:lineRule="auto" w:line="240" w:before="0" w:after="0"/>
        <w:ind w:left="0" w:hanging="0"/>
        <w:contextualSpacing/>
        <w:jc w:val="center"/>
        <w:rPr>
          <w:rFonts w:ascii="PT Astra Serif" w:hAnsi="PT Astra Serif"/>
        </w:rPr>
      </w:pPr>
      <w:r>
        <w:rPr>
          <w:rFonts w:ascii="PT Astra Serif" w:hAnsi="PT Astra Serif"/>
          <w:b/>
          <w:bCs/>
        </w:rPr>
        <w:t>Общие положения.</w:t>
      </w:r>
    </w:p>
    <w:p>
      <w:pPr>
        <w:pStyle w:val="Normal"/>
        <w:numPr>
          <w:ilvl w:val="1"/>
          <w:numId w:val="1"/>
        </w:numPr>
        <w:spacing w:lineRule="auto" w:line="240" w:before="0" w:after="0"/>
        <w:ind w:left="0" w:firstLine="709"/>
        <w:contextualSpacing/>
        <w:jc w:val="both"/>
        <w:rPr>
          <w:rFonts w:ascii="PT Astra Serif" w:hAnsi="PT Astra Serif" w:cs="PT Astra Serif"/>
          <w:bCs/>
        </w:rPr>
      </w:pPr>
      <w:r>
        <w:rPr>
          <w:rFonts w:cs="PT Astra Serif" w:ascii="PT Astra Serif" w:hAnsi="PT Astra Serif"/>
          <w:bCs/>
        </w:rPr>
        <w:t>"Заказчик" организует техническое обслуживание ТСО в соответствии с нормативными требованиями ВНГ России, путём заключения договора с организацией, имеющей соответствующую лицензию на проведение работ по техническому обслуживанию ТСО на "Объекте", а также организующей техническое обслуживание этих средств в соответствии с нормативными требованиями ВНГ России (далее – обслуживающая организация).</w:t>
      </w:r>
    </w:p>
    <w:p>
      <w:pPr>
        <w:pStyle w:val="ListParagraph"/>
        <w:numPr>
          <w:ilvl w:val="1"/>
          <w:numId w:val="1"/>
        </w:numPr>
        <w:spacing w:lineRule="auto" w:line="240" w:before="0" w:after="0"/>
        <w:ind w:left="0" w:firstLine="709"/>
        <w:contextualSpacing/>
        <w:jc w:val="both"/>
        <w:rPr>
          <w:rFonts w:ascii="PT Astra Serif" w:hAnsi="PT Astra Serif" w:cs="PT Astra Serif"/>
          <w:bCs/>
        </w:rPr>
      </w:pPr>
      <w:r>
        <w:rPr>
          <w:rFonts w:cs="PT Astra Serif" w:ascii="PT Astra Serif" w:hAnsi="PT Astra Serif"/>
          <w:bCs/>
        </w:rPr>
        <w:t>Перечень ТСО, а также мероприятия по усилению технической (инженерной) укрепленности "Объекта", указываются в "Акте обследования" которое является его неотъемлемой частью, подлежащему подписанию представителями "Сторон".</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В течение срока действия Договора представителями "Сторон" проводятся плановые и внеплановые обследования технической (инженерной) укрепленности "Объекта" и проверки технического состояния ТСО. Результаты обследований, в том числе выявленные недостатки в технической (инженерной) укрепленности "Объекта" и/или техническом состоянии ТСО (при наличии), а также порядок и сроки их устранения, указываются в "Акте обследования", который является неотъемлемой частью Договора и подлежит подписанию представителями "Сторон".</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Мониторинг осуществляется "Исполнителем" при использовании (установке на "Объекте") следующих видов ТСО:</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Кнопки тревожной сигнализации (далее КТС).</w:t>
      </w:r>
    </w:p>
    <w:p>
      <w:pPr>
        <w:pStyle w:val="ListParagraph"/>
        <w:numPr>
          <w:ilvl w:val="1"/>
          <w:numId w:val="1"/>
        </w:numPr>
        <w:spacing w:lineRule="auto" w:line="240" w:before="0" w:after="0"/>
        <w:ind w:left="0" w:firstLine="709"/>
        <w:contextualSpacing/>
        <w:jc w:val="both"/>
        <w:rPr>
          <w:rFonts w:ascii="PT Astra Serif" w:hAnsi="PT Astra Serif" w:cs="PT Astra Serif"/>
          <w:color w:val="000000"/>
        </w:rPr>
      </w:pPr>
      <w:r>
        <w:rPr>
          <w:rFonts w:cs="PT Astra Serif" w:ascii="PT Astra Serif" w:hAnsi="PT Astra Serif"/>
          <w:bCs/>
          <w:color w:val="000000"/>
        </w:rPr>
        <w:t>"Сторонами" не разглашаются третьим лицам сведения о принципах построения и составе ТСО, присвоенные пультовые номера, пароли и коды пользователей. В случае разглашения "Заказчиком" этих данных, утери устройства для дистанционного управления ТСО, "Заказчик" сообщает об этом "Исполнителю" сразу после выявления данного факта.</w:t>
      </w:r>
    </w:p>
    <w:p>
      <w:pPr>
        <w:pStyle w:val="ListParagraph"/>
        <w:spacing w:lineRule="auto" w:line="240" w:before="0" w:after="0"/>
        <w:ind w:left="0" w:hanging="0"/>
        <w:contextualSpacing/>
        <w:jc w:val="center"/>
        <w:rPr>
          <w:rFonts w:ascii="PT Astra Serif" w:hAnsi="PT Astra Serif"/>
        </w:rPr>
      </w:pPr>
      <w:r>
        <w:rPr>
          <w:rFonts w:ascii="PT Astra Serif" w:hAnsi="PT Astra Serif"/>
        </w:rPr>
      </w:r>
    </w:p>
    <w:p>
      <w:pPr>
        <w:pStyle w:val="ListParagraph"/>
        <w:numPr>
          <w:ilvl w:val="0"/>
          <w:numId w:val="1"/>
        </w:numPr>
        <w:spacing w:lineRule="auto" w:line="240" w:before="0" w:after="0"/>
        <w:ind w:left="0" w:hanging="0"/>
        <w:contextualSpacing/>
        <w:jc w:val="center"/>
        <w:rPr>
          <w:rFonts w:ascii="PT Astra Serif" w:hAnsi="PT Astra Serif"/>
        </w:rPr>
      </w:pPr>
      <w:r>
        <w:rPr>
          <w:rFonts w:ascii="PT Astra Serif" w:hAnsi="PT Astra Serif"/>
          <w:b/>
        </w:rPr>
        <w:t>Обязанности Сторон.</w:t>
      </w:r>
    </w:p>
    <w:p>
      <w:pPr>
        <w:pStyle w:val="ListParagraph"/>
        <w:numPr>
          <w:ilvl w:val="1"/>
          <w:numId w:val="1"/>
        </w:numPr>
        <w:spacing w:lineRule="auto" w:line="240" w:before="0" w:after="0"/>
        <w:ind w:left="0" w:firstLine="709"/>
        <w:contextualSpacing/>
        <w:jc w:val="both"/>
        <w:rPr>
          <w:rFonts w:ascii="PT Astra Serif" w:hAnsi="PT Astra Serif" w:cs="PT Astra Serif"/>
          <w:b/>
          <w:b/>
          <w:bCs/>
        </w:rPr>
      </w:pPr>
      <w:r>
        <w:rPr>
          <w:rFonts w:cs="PT Astra Serif" w:ascii="PT Astra Serif" w:hAnsi="PT Astra Serif"/>
          <w:b/>
          <w:bCs/>
        </w:rPr>
        <w:t>Обязанности Исполнителя:</w:t>
      </w:r>
    </w:p>
    <w:p>
      <w:pPr>
        <w:pStyle w:val="ListParagraph"/>
        <w:numPr>
          <w:ilvl w:val="2"/>
          <w:numId w:val="1"/>
        </w:numPr>
        <w:spacing w:lineRule="auto" w:line="240" w:before="0" w:after="0"/>
        <w:ind w:left="0" w:firstLine="709"/>
        <w:contextualSpacing/>
        <w:jc w:val="both"/>
        <w:rPr/>
      </w:pPr>
      <w:r>
        <w:rPr>
          <w:rFonts w:cs="PT Astra Serif" w:ascii="PT Astra Serif" w:hAnsi="PT Astra Serif"/>
        </w:rPr>
        <w:t>Осуществлять в установленном порядке прием исправных ТСО под мониторинг, в дни и часы, установленные настоящим Договором.</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получении тревожного сообщения, поступившего с "Объекта", незамедлительно сообщить в дежурную часть ОМВД по Поронайскому городскому округу информацию о срабатывании ТСО. Порядок действия наряда полиции при выезде осуществляется в соответствии с нормативными актами МВД России.</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Информировать "Заказчика" о невозможности постановки «Объекта" под наблюдение по техническим причинам, выявленным в работе ТСО, а также об установленных недостатках и неисправностях ТСО и/или инженерной укрепленности "Объекта".</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систематическом выявлении нарушений по качеству проведения регламентных работ, фактов неисправности ТСО в результате невыполнения или ненадлежащего выполнения своих обязательств по настоящему Договору обслуживающей организацией, вносить "Заказчику" предложения по расторжению договорных отношений с обслуживающей организацией.</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В случае поступления на ПЦН информации о снятии "Объекта" с наблюдения в период времени, установленного Приложением № 1 к настоящему Договору, в том числе штатным кодом, незамедлительно сообщить в дежурную часть ОМВД по Поронайскому городскому округу для проверки причин снятия "Объекта" с наблюдения и установления лица, производившего снятие.</w:t>
      </w:r>
    </w:p>
    <w:p>
      <w:pPr>
        <w:pStyle w:val="ListParagraph"/>
        <w:numPr>
          <w:ilvl w:val="1"/>
          <w:numId w:val="1"/>
        </w:numPr>
        <w:spacing w:lineRule="auto" w:line="240" w:before="0" w:after="0"/>
        <w:ind w:left="0" w:firstLine="709"/>
        <w:contextualSpacing/>
        <w:jc w:val="both"/>
        <w:rPr>
          <w:rFonts w:ascii="PT Astra Serif" w:hAnsi="PT Astra Serif" w:cs="PT Astra Serif"/>
          <w:b/>
          <w:b/>
          <w:bCs/>
        </w:rPr>
      </w:pPr>
      <w:r>
        <w:rPr>
          <w:rFonts w:cs="PT Astra Serif" w:ascii="PT Astra Serif" w:hAnsi="PT Astra Serif"/>
          <w:b/>
          <w:bCs/>
        </w:rPr>
        <w:t>Обязанности Заказчика:</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В течение трёх рабочих дней в письменной форме сообщать "Исполнителю" обо всех изменениях правового положения, состава учредителей (участников), организационно-правовой формы, названия, юридического адреса и банковских реквизитов с предоставлением соответствующих подтверждающих документов.</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Выполнять определенные Сторонами и указанные в Актах обследования объекта мероприятия: по технической укрепленности, оборудованию Объекта техническими средствами охраны, по соблюдению условий хранения материальных ценностей и т.п.</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Назначить приказом доверенных лиц, ответственных за постановку (сдачу) тревожной сигнализации на ПЦН.  Предоставить "Исполнителю" данные о служебных, домашних, мобильных номерах телефонов, а также адресах доверенных лиц.  В письменной форме, в течение одного дня, уведомлять "Исполнителя" о произошедших изменениях в указанных данных.</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В установленные договором дни и часы включать тревожную сигнализацию на Объекте и сдавать ее "Исполнителю" под централизованное наблюдение с обязательной предварительной проверкой ее работоспособности.</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Производить не реже одного раза, а при круглосуточной охране не реже двух раз в сутки работоспособность тревожной сигнализации путем пробной подачи сигнала Тревога с предварительным уведомлением об этом "Исполнителя" по телефону через ПЦН.</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Не разглашать посторонним лицам правила пользования тревожной сигнализацией и присвоенный условный номер Объекта.</w:t>
      </w:r>
    </w:p>
    <w:p>
      <w:pPr>
        <w:pStyle w:val="ListParagraph"/>
        <w:numPr>
          <w:ilvl w:val="2"/>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Не допускать к средствам тревожной сигнализации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Обеспечить "Исполнителю" возможность беспрепятственного и незамедлительного доступа на Объект в целях выполнения ими обязательств, взятых на себя в соответствии с настоящим Договором, сообщить коды (если таковые имеются) запирающих устройств входных дверей в помещения Объекта. В письменной форме, в течение одного дня, уведомлять "Исполнителя" о смене замков и кодов.</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Строго соблюдать правила эксплуатации тревожной сигнализации, не вносить изменения в схему блокировки Объекта. Содержать средства тревожной сигнализации на Объекте в работоспособном состоянии, по истечении срока эксплуатации производить их замену (предельный срок эксплуатации средств: для приборов – шесть лет, для шлейфов – согласно совместных актов технической эксплуатации технических средств охраны, но не более четырех лет). Дальнейшее использование этих средств разрешается только с письменного согласия "Исполнителя".</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Своевременно сообщать "Исполнителю" о возможных неисправностях технических средств охраны и обеспечивать проведение ремонтных и регламентных работ по техническому обслуживанию средств сигнализации. Обеспечить представителям "Исполнителя" свободный доступ к средствам тревожной сигнализации.</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проведении на Объекте ремонта, перепланировки, переоборудования помещений, в случаях появления новых или изменения мест хранения ценностей, а также при проведении иных мероприятий, которые могут повлиять на техническое состояние средств охраны, повлечь за собой изменения в их составе и потребовать проведения дополнительных мероприятий по технической (инженерной) укрепленности объекта, уведомить об этом "Исполнителя" не позднее, чем за 15 дней до таких изменений.</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расторжении договора "Заказчик" обязан оплатить "Исполнителю" фактически оказанные "Исполнителем" услуги по настоящему Договору.</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"Заказчик" организует техническое обслуживание средств тревожной сигнализации, в соответствии с нормативными требованиями ВНГ РФ, путём заключения договора с организацией, имеющей соответствующую лицензию на проведение работ по техническому обслуживанию тревожных средств сигнализации   на «Объекте», а также организующей техническое обслуживание этих средств в соответствии с нормативными требованиями ВНГ России.</w:t>
      </w:r>
    </w:p>
    <w:p>
      <w:pPr>
        <w:pStyle w:val="ListParagraph"/>
        <w:numPr>
          <w:ilvl w:val="2"/>
          <w:numId w:val="1"/>
        </w:numPr>
        <w:tabs>
          <w:tab w:val="clear" w:pos="709"/>
          <w:tab w:val="left" w:pos="1461" w:leader="none"/>
        </w:tabs>
        <w:spacing w:lineRule="auto" w:line="240" w:before="0" w:after="0"/>
        <w:ind w:left="0" w:firstLine="709"/>
        <w:contextualSpacing/>
        <w:jc w:val="both"/>
        <w:rPr/>
      </w:pPr>
      <w:r>
        <w:rPr>
          <w:rFonts w:cs="PT Astra Serif" w:ascii="PT Astra Serif" w:hAnsi="PT Astra Serif"/>
        </w:rPr>
        <w:t xml:space="preserve">Обеспечить наличие связи по </w:t>
      </w:r>
      <w:r>
        <w:rPr>
          <w:rFonts w:cs="PT Astra Serif" w:ascii="PT Astra Serif" w:hAnsi="PT Astra Serif"/>
          <w:lang w:val="en-US"/>
        </w:rPr>
        <w:t>GSM</w:t>
      </w:r>
      <w:r>
        <w:rPr>
          <w:rFonts w:cs="PT Astra Serif" w:ascii="PT Astra Serif" w:hAnsi="PT Astra Serif"/>
        </w:rPr>
        <w:t>-каналу и исправность сетей электропитания, к которым подключены средства тревожной сигнализации.</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плановой замене "Исполнителем" систем передачи извещения (СПИ) на ПЦО, за свой счет производить замену оконечного устройства на Объекте.</w:t>
      </w:r>
    </w:p>
    <w:p>
      <w:pPr>
        <w:pStyle w:val="ListParagraph"/>
        <w:numPr>
          <w:ilvl w:val="2"/>
          <w:numId w:val="1"/>
        </w:numPr>
        <w:tabs>
          <w:tab w:val="clear" w:pos="709"/>
          <w:tab w:val="left" w:pos="1461" w:leader="none"/>
        </w:tabs>
        <w:spacing w:lineRule="auto" w:line="240" w:before="0" w:after="0"/>
        <w:ind w:left="0" w:firstLine="709"/>
        <w:contextualSpacing/>
        <w:jc w:val="both"/>
        <w:rPr/>
      </w:pPr>
      <w:r>
        <w:rPr>
          <w:rFonts w:cs="PT Astra Serif" w:ascii="PT Astra Serif" w:hAnsi="PT Astra Serif"/>
        </w:rPr>
        <w:t xml:space="preserve">Надлежащим образом исполнять свои обязательства по договорам на предоставление связи по </w:t>
      </w:r>
      <w:r>
        <w:rPr>
          <w:rFonts w:cs="PT Astra Serif" w:ascii="PT Astra Serif" w:hAnsi="PT Astra Serif"/>
          <w:lang w:val="en-US"/>
        </w:rPr>
        <w:t>GSM</w:t>
      </w:r>
      <w:r>
        <w:rPr>
          <w:rFonts w:cs="PT Astra Serif" w:ascii="PT Astra Serif" w:hAnsi="PT Astra Serif"/>
        </w:rPr>
        <w:t>-каналу, заключенным с операторами связи, в период действия настоящего Договора.</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Своевременно вносить абонентскую плату и оплачивать услуги, оказываемые "Исполнителем", согласно условиям настоящего Договора.</w:t>
      </w:r>
    </w:p>
    <w:p>
      <w:pPr>
        <w:pStyle w:val="ListParagraph"/>
        <w:numPr>
          <w:ilvl w:val="2"/>
          <w:numId w:val="1"/>
        </w:numPr>
        <w:tabs>
          <w:tab w:val="clear" w:pos="709"/>
          <w:tab w:val="left" w:pos="1461" w:leader="none"/>
        </w:tabs>
        <w:spacing w:lineRule="auto" w:line="240" w:before="0" w:after="0"/>
        <w:ind w:left="0" w:firstLine="709"/>
        <w:contextualSpacing/>
        <w:jc w:val="both"/>
        <w:rPr>
          <w:rFonts w:ascii="PT Astra Serif" w:hAnsi="PT Astra Serif" w:cs="PT Astra Serif"/>
        </w:rPr>
      </w:pPr>
      <w:r>
        <w:rPr>
          <w:rFonts w:cs="PT Astra Serif" w:ascii="PT Astra Serif" w:hAnsi="PT Astra Serif"/>
        </w:rPr>
        <w:t>Информировать "Исполнителя" о возникновении спора о праве собственности и управления имуществом, находящимся во владении "Заказчика" и являющимся объектом охраны в течение 5 (пяти) календарных дней с момента возникновения спора.</w:t>
      </w:r>
    </w:p>
    <w:p>
      <w:pPr>
        <w:pStyle w:val="ListParagraph"/>
        <w:numPr>
          <w:ilvl w:val="2"/>
          <w:numId w:val="1"/>
        </w:numPr>
        <w:shd w:val="clear" w:color="auto" w:fill="FFFFFF"/>
        <w:tabs>
          <w:tab w:val="clear" w:pos="709"/>
          <w:tab w:val="left" w:pos="1461" w:leader="none"/>
        </w:tabs>
        <w:spacing w:lineRule="auto" w:line="240" w:before="0" w:after="0"/>
        <w:ind w:left="0" w:firstLine="709"/>
        <w:contextualSpacing/>
        <w:jc w:val="both"/>
        <w:rPr>
          <w:rFonts w:ascii="PT Astra Serif" w:hAnsi="PT Astra Serif" w:cs="PT Astra Serif"/>
          <w:color w:val="000000"/>
        </w:rPr>
      </w:pPr>
      <w:r>
        <w:rPr>
          <w:rFonts w:cs="PT Astra Serif" w:ascii="PT Astra Serif" w:hAnsi="PT Astra Serif"/>
          <w:color w:val="000000"/>
        </w:rPr>
        <w:t>Не позднее 05 числа каждого месяца представлять "Исполнителю" подписанный Акт выполненных работ" за предыдущий месяц. В случае невозвращения "Исполнителю" в течение трех дней с момента получения, надлежащим образом оформленного Акта выполненных работ или письменных возражений на него, услуги считаются оказанными.</w:t>
      </w:r>
    </w:p>
    <w:p>
      <w:pPr>
        <w:pStyle w:val="ListParagraph"/>
        <w:tabs>
          <w:tab w:val="clear" w:pos="709"/>
          <w:tab w:val="left" w:pos="1461" w:leader="none"/>
        </w:tabs>
        <w:spacing w:lineRule="auto" w:line="240" w:before="0" w:after="0"/>
        <w:ind w:left="0" w:hanging="0"/>
        <w:contextualSpacing/>
        <w:jc w:val="both"/>
        <w:rPr>
          <w:rFonts w:ascii="PT Astra Serif" w:hAnsi="PT Astra Serif"/>
        </w:rPr>
      </w:pPr>
      <w:r>
        <w:rPr>
          <w:rFonts w:ascii="PT Astra Serif" w:hAnsi="PT Astra Serif"/>
        </w:rPr>
      </w:r>
    </w:p>
    <w:p>
      <w:pPr>
        <w:pStyle w:val="ListParagraph"/>
        <w:numPr>
          <w:ilvl w:val="0"/>
          <w:numId w:val="1"/>
        </w:numPr>
        <w:spacing w:lineRule="auto" w:line="240" w:before="0" w:after="0"/>
        <w:ind w:left="0" w:hanging="0"/>
        <w:contextualSpacing/>
        <w:jc w:val="center"/>
        <w:rPr>
          <w:rFonts w:ascii="PT Astra Serif" w:hAnsi="PT Astra Serif"/>
        </w:rPr>
      </w:pPr>
      <w:r>
        <w:rPr>
          <w:rFonts w:ascii="PT Astra Serif" w:hAnsi="PT Astra Serif"/>
          <w:b/>
        </w:rPr>
        <w:t>Ответственность Сторон.</w:t>
      </w:r>
    </w:p>
    <w:p>
      <w:pPr>
        <w:pStyle w:val="ListParagraph"/>
        <w:numPr>
          <w:ilvl w:val="1"/>
          <w:numId w:val="1"/>
        </w:numPr>
        <w:shd w:val="clear" w:fill="FFFFFF"/>
        <w:tabs>
          <w:tab w:val="clear" w:pos="709"/>
          <w:tab w:val="left" w:pos="1046" w:leader="none"/>
        </w:tabs>
        <w:spacing w:lineRule="auto" w:line="240" w:before="0" w:after="0"/>
        <w:ind w:left="0" w:right="0" w:firstLine="709"/>
        <w:contextualSpacing/>
        <w:jc w:val="both"/>
        <w:rPr>
          <w:rFonts w:ascii="PT Astra Serif" w:hAnsi="PT Astra Serif" w:cs="PT Astra Serif"/>
          <w:sz w:val="22"/>
          <w:szCs w:val="22"/>
        </w:rPr>
      </w:pPr>
      <w:r>
        <w:rPr>
          <w:rFonts w:cs="PT Astra Serif" w:ascii="PT Astra Serif" w:hAnsi="PT Astra Serif"/>
          <w:sz w:val="22"/>
          <w:szCs w:val="22"/>
        </w:rPr>
        <w:t>"Исполнитель" не несет ответственности за ущерб, причиненный "Заказчику" посторонними лицами, так как в силу условий настоящего договора, "Исполнитель" обязан принимать   соответствующие меры, относительно пресечения противоправных действий по отношению к имуществу "Заказчика" уже после или во время причинения ущерба и "Объект» находится за пределами зоны обслуживания "Исполнителя".</w:t>
      </w:r>
    </w:p>
    <w:p>
      <w:pPr>
        <w:pStyle w:val="Normal"/>
        <w:numPr>
          <w:ilvl w:val="1"/>
          <w:numId w:val="1"/>
        </w:numPr>
        <w:spacing w:before="0" w:after="0"/>
        <w:ind w:left="0" w:firstLine="720"/>
        <w:jc w:val="both"/>
        <w:rPr>
          <w:rFonts w:ascii="PT Astra Serif" w:hAnsi="PT Astra Serif" w:cs="PT Astra Serif"/>
          <w:bCs/>
        </w:rPr>
      </w:pPr>
      <w:r>
        <w:rPr>
          <w:rFonts w:cs="PT Astra Serif" w:ascii="PT Astra Serif" w:hAnsi="PT Astra Serif"/>
          <w:bCs/>
        </w:rPr>
        <w:t>Ответственность «Заказчика»:</w:t>
      </w:r>
    </w:p>
    <w:p>
      <w:pPr>
        <w:pStyle w:val="Normal"/>
        <w:numPr>
          <w:ilvl w:val="2"/>
          <w:numId w:val="1"/>
        </w:numPr>
        <w:spacing w:before="0" w:after="0"/>
        <w:ind w:left="0" w:firstLine="720"/>
        <w:jc w:val="both"/>
        <w:rPr/>
      </w:pPr>
      <w:r>
        <w:rPr>
          <w:rFonts w:cs="PT Astra Serif" w:ascii="PT Astra Serif" w:hAnsi="PT Astra Serif"/>
        </w:rPr>
        <w:t>За неисполнение или ненадлежащее исполнение «Заказчиком» своих обязательств по настоящему Договору «Заказчик» несет ответственность в виде неустойки (штраф, пени).</w:t>
      </w:r>
      <w:r>
        <w:rPr>
          <w:rFonts w:cs="PT Astra Serif" w:ascii="PT Astra Serif" w:hAnsi="PT Astra Serif"/>
          <w:b/>
          <w:bCs/>
        </w:rPr>
        <w:t xml:space="preserve"> </w:t>
      </w:r>
      <w:r>
        <w:rPr>
          <w:rFonts w:cs="PT Astra Serif" w:ascii="PT Astra Serif" w:hAnsi="PT Astra Serif"/>
        </w:rPr>
        <w:t>Размер такой неустойки устанавливается настоящим Договором в размере одной трехсотой действующей на день уплаты неустойки (штраф, пени) ставки рефинансирования Центрального банка Российской Федерации от суммы Договора.</w:t>
      </w:r>
    </w:p>
    <w:p>
      <w:pPr>
        <w:pStyle w:val="Normal"/>
        <w:numPr>
          <w:ilvl w:val="2"/>
          <w:numId w:val="1"/>
        </w:numPr>
        <w:spacing w:before="0" w:after="0"/>
        <w:ind w:left="0" w:firstLine="720"/>
        <w:jc w:val="both"/>
        <w:rPr>
          <w:rFonts w:ascii="PT Astra Serif" w:hAnsi="PT Astra Serif" w:cs="PT Astra Serif"/>
        </w:rPr>
      </w:pPr>
      <w:r>
        <w:rPr>
          <w:rFonts w:cs="PT Astra Serif" w:ascii="PT Astra Serif" w:hAnsi="PT Astra Serif"/>
        </w:rPr>
        <w:t>В случае просрочки исполнения обязательств по настоящему Договору со стороны «Заказчика», «Исполнитель» вправе потребовать уплату неустойки (штрафа, пеней). Неустойка (штраф, пени) начисляется за каждый день просрочки исполнения обязательства, предусмотренного настоящим Договором, начиная со дня, следующего после дня истечения установленного срока исполнения обязательства. Размер такой неустойки (штрафа, пеней) устанавливается в размере одной трехсотой действующей на день уплаты неустойки ставки рефинансирования Центрального банка Российской Федерации от суммы Договора. «Заказчик» освобождается от уплаты неустойки (штрафа, пеней), если докажет, что просрочка исполнения указанного обязательства произошла вследствие непреодолимой силы или по вине «Исполнителя».</w:t>
      </w:r>
    </w:p>
    <w:p>
      <w:pPr>
        <w:pStyle w:val="Normal"/>
        <w:numPr>
          <w:ilvl w:val="2"/>
          <w:numId w:val="1"/>
        </w:numPr>
        <w:spacing w:lineRule="auto" w:line="240" w:before="0" w:after="0"/>
        <w:ind w:left="0" w:firstLine="720"/>
        <w:contextualSpacing/>
        <w:jc w:val="both"/>
        <w:rPr>
          <w:rFonts w:ascii="PT Astra Serif" w:hAnsi="PT Astra Serif" w:cs="PT Astra Serif"/>
        </w:rPr>
      </w:pPr>
      <w:r>
        <w:rPr>
          <w:rFonts w:cs="PT Astra Serif" w:ascii="PT Astra Serif" w:hAnsi="PT Astra Serif"/>
        </w:rPr>
        <w:t xml:space="preserve">Заказчик освобождается от уплаты неустойки (штрафа, пеней), если докажет, что просрочка исполнения указанного обязательства произошла вследствие непреодолимой силы или по вине «Исполнителя». </w:t>
      </w:r>
    </w:p>
    <w:p>
      <w:pPr>
        <w:pStyle w:val="ListParagraph"/>
        <w:numPr>
          <w:ilvl w:val="0"/>
          <w:numId w:val="1"/>
        </w:numPr>
        <w:spacing w:lineRule="auto" w:line="240" w:before="0" w:after="0"/>
        <w:ind w:left="0" w:hanging="0"/>
        <w:contextualSpacing/>
        <w:jc w:val="center"/>
        <w:rPr>
          <w:rFonts w:ascii="PT Astra Serif" w:hAnsi="PT Astra Serif"/>
        </w:rPr>
      </w:pPr>
      <w:r>
        <w:rPr>
          <w:rFonts w:ascii="PT Astra Serif" w:hAnsi="PT Astra Serif"/>
          <w:b/>
          <w:bCs/>
        </w:rPr>
        <w:t>Порядок взаиморасчетов.</w:t>
      </w:r>
    </w:p>
    <w:p>
      <w:pPr>
        <w:pStyle w:val="Normal"/>
        <w:numPr>
          <w:ilvl w:val="1"/>
          <w:numId w:val="1"/>
        </w:numPr>
        <w:spacing w:before="0" w:after="0"/>
        <w:ind w:left="0" w:firstLine="720"/>
        <w:jc w:val="both"/>
        <w:rPr/>
      </w:pPr>
      <w:r>
        <w:rPr>
          <w:rFonts w:eastAsia="Cambria" w:cs="PT Astra Serif" w:ascii="PT Astra Serif" w:hAnsi="PT Astra Serif"/>
          <w:color w:val="000000"/>
          <w:lang w:eastAsia="ru-RU" w:bidi="ru-RU"/>
        </w:rPr>
        <w:t>Стоимость услуг по договору в месяц составляет</w:t>
      </w:r>
      <w:r>
        <w:rPr>
          <w:rFonts w:cs="PT Astra Serif" w:ascii="PT Astra Serif" w:hAnsi="PT Astra Serif"/>
          <w:b/>
          <w:i/>
          <w:color w:val="000000"/>
        </w:rPr>
        <w:t xml:space="preserve"> </w:t>
      </w:r>
      <w:r>
        <w:rPr>
          <w:rFonts w:eastAsia="Calibri" w:cs="PT Astra Serif" w:ascii="PT Astra Serif" w:hAnsi="PT Astra Serif"/>
          <w:b/>
          <w:i/>
          <w:color w:val="000000"/>
          <w:kern w:val="0"/>
          <w:sz w:val="22"/>
          <w:szCs w:val="22"/>
          <w:lang w:val="ru-RU" w:eastAsia="en-US" w:bidi="ar-SA"/>
        </w:rPr>
        <w:t>00 000</w:t>
      </w:r>
      <w:r>
        <w:rPr>
          <w:rFonts w:cs="PT Astra Serif" w:ascii="PT Astra Serif" w:hAnsi="PT Astra Serif"/>
          <w:b/>
          <w:i/>
          <w:color w:val="000000"/>
        </w:rPr>
        <w:t xml:space="preserve"> (</w:t>
      </w:r>
      <w:r>
        <w:rPr>
          <w:rFonts w:eastAsia="Calibri" w:cs="PT Astra Serif" w:ascii="PT Astra Serif" w:hAnsi="PT Astra Serif"/>
          <w:b/>
          <w:i/>
          <w:color w:val="000000"/>
          <w:kern w:val="0"/>
          <w:sz w:val="22"/>
          <w:szCs w:val="22"/>
          <w:lang w:val="ru-RU" w:eastAsia="en-US" w:bidi="ar-SA"/>
        </w:rPr>
        <w:t>ноль</w:t>
      </w:r>
      <w:r>
        <w:rPr>
          <w:rFonts w:cs="PT Astra Serif" w:ascii="PT Astra Serif" w:hAnsi="PT Astra Serif"/>
          <w:b/>
          <w:i/>
          <w:color w:val="000000"/>
        </w:rPr>
        <w:t xml:space="preserve"> тысяч </w:t>
      </w:r>
      <w:r>
        <w:rPr>
          <w:rFonts w:eastAsia="Calibri" w:cs="PT Astra Serif" w:ascii="PT Astra Serif" w:hAnsi="PT Astra Serif"/>
          <w:b/>
          <w:i/>
          <w:color w:val="000000"/>
          <w:kern w:val="0"/>
          <w:sz w:val="22"/>
          <w:szCs w:val="22"/>
          <w:lang w:val="ru-RU" w:eastAsia="en-US" w:bidi="ar-SA"/>
        </w:rPr>
        <w:t>ноль</w:t>
      </w:r>
      <w:r>
        <w:rPr>
          <w:rFonts w:cs="PT Astra Serif" w:ascii="PT Astra Serif" w:hAnsi="PT Astra Serif"/>
          <w:b/>
          <w:i/>
          <w:color w:val="000000"/>
        </w:rPr>
        <w:t xml:space="preserve">) рублей 00 копеек. </w:t>
      </w:r>
      <w:r>
        <w:rPr>
          <w:rFonts w:cs="PT Astra Serif" w:ascii="PT Astra Serif" w:hAnsi="PT Astra Serif"/>
          <w:color w:val="000000"/>
        </w:rPr>
        <w:t>Общая сумма по Договору за период с 01.01.202</w:t>
      </w:r>
      <w:r>
        <w:rPr>
          <w:rFonts w:eastAsia="Times New Roman" w:cs="PT Astra Serif" w:ascii="PT Astra Serif" w:hAnsi="PT Astra Serif"/>
          <w:color w:val="000000"/>
          <w:lang w:eastAsia="zh-CN"/>
        </w:rPr>
        <w:t>5</w:t>
      </w:r>
      <w:r>
        <w:rPr>
          <w:rFonts w:cs="PT Astra Serif" w:ascii="PT Astra Serif" w:hAnsi="PT Astra Serif"/>
          <w:color w:val="000000"/>
        </w:rPr>
        <w:t xml:space="preserve"> г. по 31.12.202</w:t>
      </w:r>
      <w:r>
        <w:rPr>
          <w:rFonts w:eastAsia="Times New Roman" w:cs="PT Astra Serif" w:ascii="PT Astra Serif" w:hAnsi="PT Astra Serif"/>
          <w:color w:val="000000"/>
          <w:lang w:eastAsia="zh-CN"/>
        </w:rPr>
        <w:t>5</w:t>
      </w:r>
      <w:r>
        <w:rPr>
          <w:rFonts w:cs="PT Astra Serif" w:ascii="PT Astra Serif" w:hAnsi="PT Astra Serif"/>
          <w:color w:val="000000"/>
        </w:rPr>
        <w:t xml:space="preserve"> г. составляет </w:t>
      </w:r>
      <w:r>
        <w:rPr>
          <w:rFonts w:eastAsia="Calibri" w:cs="PT Astra Serif" w:ascii="PT Astra Serif" w:hAnsi="PT Astra Serif"/>
          <w:b/>
          <w:i/>
          <w:color w:val="000000"/>
          <w:kern w:val="0"/>
          <w:sz w:val="22"/>
          <w:szCs w:val="22"/>
          <w:lang w:val="ru-RU" w:eastAsia="en-US" w:bidi="ar-SA"/>
        </w:rPr>
        <w:t>00 000</w:t>
      </w:r>
      <w:r>
        <w:rPr>
          <w:rFonts w:cs="PT Astra Serif" w:ascii="PT Astra Serif" w:hAnsi="PT Astra Serif"/>
          <w:b/>
          <w:i/>
          <w:color w:val="000000"/>
        </w:rPr>
        <w:t xml:space="preserve"> (</w:t>
      </w:r>
      <w:r>
        <w:rPr>
          <w:rFonts w:eastAsia="Calibri" w:cs="PT Astra Serif" w:ascii="PT Astra Serif" w:hAnsi="PT Astra Serif"/>
          <w:b/>
          <w:i/>
          <w:color w:val="000000"/>
          <w:kern w:val="0"/>
          <w:sz w:val="22"/>
          <w:szCs w:val="22"/>
          <w:lang w:val="ru-RU" w:eastAsia="en-US" w:bidi="ar-SA"/>
        </w:rPr>
        <w:t>ноль</w:t>
      </w:r>
      <w:r>
        <w:rPr>
          <w:rFonts w:cs="PT Astra Serif" w:ascii="PT Astra Serif" w:hAnsi="PT Astra Serif"/>
          <w:b/>
          <w:i/>
          <w:color w:val="000000"/>
        </w:rPr>
        <w:t xml:space="preserve"> тысяч </w:t>
      </w:r>
      <w:r>
        <w:rPr>
          <w:rFonts w:eastAsia="Calibri" w:cs="PT Astra Serif" w:ascii="PT Astra Serif" w:hAnsi="PT Astra Serif"/>
          <w:b/>
          <w:i/>
          <w:color w:val="000000"/>
          <w:kern w:val="0"/>
          <w:sz w:val="22"/>
          <w:szCs w:val="22"/>
          <w:lang w:val="ru-RU" w:eastAsia="en-US" w:bidi="ar-SA"/>
        </w:rPr>
        <w:t>ноль</w:t>
      </w:r>
      <w:r>
        <w:rPr>
          <w:rFonts w:cs="PT Astra Serif" w:ascii="PT Astra Serif" w:hAnsi="PT Astra Serif"/>
          <w:b/>
          <w:i/>
          <w:color w:val="000000"/>
        </w:rPr>
        <w:t xml:space="preserve">) рублей 00 копеек без НДС, </w:t>
      </w:r>
      <w:r>
        <w:rPr>
          <w:rFonts w:cs="PT Astra Serif" w:ascii="PT Astra Serif" w:hAnsi="PT Astra Serif"/>
          <w:color w:val="000000"/>
        </w:rPr>
        <w:t>которая является твердой и определена на весь срок действия настоящего Договора, за исключением случаев, предусмотренных законодательством, о контрактной системе в сфере закупок товаров, работ, услуг для обеспечения государственных, муниципальных нужд и настоящим Договором.</w:t>
      </w:r>
    </w:p>
    <w:p>
      <w:pPr>
        <w:pStyle w:val="ListParagraph"/>
        <w:numPr>
          <w:ilvl w:val="1"/>
          <w:numId w:val="1"/>
        </w:numPr>
        <w:spacing w:lineRule="auto" w:line="240" w:before="0" w:after="0"/>
        <w:ind w:left="0" w:firstLine="709"/>
        <w:contextualSpacing/>
        <w:jc w:val="both"/>
        <w:rPr>
          <w:rFonts w:ascii="PT Astra Serif" w:hAnsi="PT Astra Serif" w:eastAsia="Cambria" w:cs="PT Astra Serif"/>
          <w:color w:val="000000"/>
          <w:lang w:eastAsia="ru-RU" w:bidi="ru-RU"/>
        </w:rPr>
      </w:pPr>
      <w:r>
        <w:rPr>
          <w:rFonts w:eastAsia="Cambria" w:cs="PT Astra Serif" w:ascii="PT Astra Serif" w:hAnsi="PT Astra Serif"/>
          <w:color w:val="000000"/>
          <w:lang w:eastAsia="ru-RU" w:bidi="ru-RU"/>
        </w:rPr>
        <w:t>Расчет производится в безналичной форме путем перечисления "Заказчиком" денежных средств на расчетный счет исполнителя в течении 10 рабочих дней с даты выставления счёта. Фактом оплаты считается поступление денежных средств на расчетный счет "Исполнителя". В случае несвоевременной оплаты, начисляется пеня в размере 1/300 от суммы просроченного платежа за каждый календарный день просрочки.  Оплата оказанных услуг за декабрь 2025 года производится авансовым платежом, на основании выставленного счета, путем перечисления денежных средство счета "Заказчика" на расчетный счет "Исполнителя" до 20 декабря 2025 с последующим представлением "Исполнителем" акта оказанных услуг.</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Изменение оплаты по настоящему Договору производится "Исполнителем" при изменении действующих тарифов, с уведомлением об этом "Заказчика" за 15 (пятнадцать) календарных дней до вступления их в действие, с указанием основания такого изменения.</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несогласии "Заказчика" с изменением тарифов за услуги "Исполнителя", он письменно ставит об этом в известность "Исполнителя" в течение 15 (пятнадцати) дней с момента получения уведомления об изменении тарифов. С момента получения уведомления о несогласии с изменением тарифов "Исполнителя» договор считается расторгнутым.</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Если по истечении 15 календарных дней с момента письменного уведомления "Заказчика" об изменении тарифов, "Заказчик" не выразил письменного несогласия с изменением тарифов и продолжает пользоваться услугами, предоставляемыми "Исполнителем» в соответствии с настоящим Договором, то новый тариф считается принятым "Сторонами".</w:t>
      </w:r>
    </w:p>
    <w:p>
      <w:pPr>
        <w:pStyle w:val="ListParagraph"/>
        <w:numPr>
          <w:ilvl w:val="1"/>
          <w:numId w:val="1"/>
        </w:numPr>
        <w:spacing w:lineRule="auto" w:line="240" w:before="0" w:after="0"/>
        <w:ind w:left="0" w:firstLine="709"/>
        <w:contextualSpacing/>
        <w:jc w:val="both"/>
        <w:rPr>
          <w:rFonts w:ascii="PT Astra Serif" w:hAnsi="PT Astra Serif" w:cs="PT Astra Serif"/>
        </w:rPr>
      </w:pPr>
      <w:r>
        <w:rPr>
          <w:rFonts w:cs="PT Astra Serif" w:ascii="PT Astra Serif" w:hAnsi="PT Astra Serif"/>
        </w:rPr>
        <w:t>При не подписании "Заказчиком" нового Перечня платных услуг на Объектах, передаваемых под наблюдение, а также продолжении пользования услугами, предоставляемыми "Исполнителем» в соответствии с настоящим Договором после изменения тарифов, Перечень платных услуг на Объектах подлежит подписанию только "Исполнителем".</w:t>
      </w:r>
    </w:p>
    <w:p>
      <w:pPr>
        <w:pStyle w:val="ListParagraph"/>
        <w:numPr>
          <w:ilvl w:val="1"/>
          <w:numId w:val="1"/>
        </w:numPr>
        <w:spacing w:lineRule="auto" w:line="240" w:before="0" w:after="0"/>
        <w:ind w:left="0" w:firstLine="709"/>
        <w:contextualSpacing/>
        <w:jc w:val="both"/>
        <w:rPr/>
      </w:pPr>
      <w:r>
        <w:rPr>
          <w:rFonts w:cs="PT Astra Serif" w:ascii="PT Astra Serif" w:hAnsi="PT Astra Serif"/>
        </w:rPr>
        <w:t>В случае досрочного расторжения настоящего Договора, "Сторонами" проводятся взаиморасчеты, исходя из стоимости фактически оказанных услуг на момент расторжения Договора.</w:t>
      </w:r>
    </w:p>
    <w:p>
      <w:pPr>
        <w:pStyle w:val="Normal"/>
        <w:numPr>
          <w:ilvl w:val="1"/>
          <w:numId w:val="1"/>
        </w:numPr>
        <w:spacing w:lineRule="auto" w:line="240" w:before="0" w:after="0"/>
        <w:ind w:left="0" w:firstLine="720"/>
        <w:contextualSpacing/>
        <w:jc w:val="both"/>
        <w:rPr>
          <w:rFonts w:ascii="PT Astra Serif" w:hAnsi="PT Astra Serif" w:cs="PT Astra Serif"/>
          <w:color w:val="000000"/>
        </w:rPr>
      </w:pPr>
      <w:r>
        <w:rPr>
          <w:rFonts w:cs="PT Astra Serif" w:ascii="PT Astra Serif" w:hAnsi="PT Astra Serif"/>
          <w:color w:val="000000"/>
        </w:rPr>
        <w:t>При временном изменении режима мониторинга, изменение размера абонентской платы по настоящему Договору рассчитывается, исходя из фактического времени нахождения "Объекта" в режиме наблюдения, что в дальнейшем указывается в предъявляемом для оплаты счете без оформления дополнительного соглашения, а также нового Перечня платных услуг на Объектах.</w:t>
      </w:r>
    </w:p>
    <w:p>
      <w:pPr>
        <w:pStyle w:val="ListParagraph"/>
        <w:spacing w:lineRule="auto" w:line="240" w:before="0" w:after="0"/>
        <w:ind w:left="709" w:hanging="0"/>
        <w:contextualSpacing/>
        <w:jc w:val="both"/>
        <w:rPr>
          <w:rFonts w:ascii="PT Astra Serif" w:hAnsi="PT Astra Serif"/>
        </w:rPr>
      </w:pPr>
      <w:r>
        <w:rPr>
          <w:rFonts w:ascii="PT Astra Serif" w:hAnsi="PT Astra Serif"/>
        </w:rPr>
      </w:r>
    </w:p>
    <w:p>
      <w:pPr>
        <w:pStyle w:val="ListParagraph"/>
        <w:numPr>
          <w:ilvl w:val="0"/>
          <w:numId w:val="1"/>
        </w:numPr>
        <w:spacing w:lineRule="auto" w:line="240" w:before="0" w:after="0"/>
        <w:ind w:left="0" w:hanging="0"/>
        <w:contextualSpacing/>
        <w:jc w:val="center"/>
        <w:rPr>
          <w:rFonts w:ascii="PT Astra Serif" w:hAnsi="PT Astra Serif"/>
        </w:rPr>
      </w:pPr>
      <w:r>
        <w:rPr>
          <w:rFonts w:ascii="PT Astra Serif" w:hAnsi="PT Astra Serif"/>
          <w:b/>
          <w:bCs/>
        </w:rPr>
        <w:t>Форс-мажор.</w:t>
      </w:r>
    </w:p>
    <w:p>
      <w:pPr>
        <w:pStyle w:val="ListParagraph"/>
        <w:numPr>
          <w:ilvl w:val="1"/>
          <w:numId w:val="1"/>
        </w:numPr>
        <w:spacing w:lineRule="auto" w:line="240" w:before="0" w:after="0"/>
        <w:ind w:left="0" w:firstLine="709"/>
        <w:contextualSpacing/>
        <w:jc w:val="both"/>
        <w:rPr>
          <w:rFonts w:ascii="PT Astra Serif" w:hAnsi="PT Astra Serif"/>
        </w:rPr>
      </w:pPr>
      <w:r>
        <w:rPr>
          <w:rFonts w:ascii="PT Astra Serif" w:hAnsi="PT Astra Serif"/>
        </w:rPr>
        <w:t>Наличие форс-мажорных обстоятельств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p>
    <w:p>
      <w:pPr>
        <w:pStyle w:val="ListParagraph"/>
        <w:numPr>
          <w:ilvl w:val="1"/>
          <w:numId w:val="1"/>
        </w:numPr>
        <w:spacing w:lineRule="auto" w:line="240" w:before="0" w:after="0"/>
        <w:ind w:left="0" w:firstLine="709"/>
        <w:contextualSpacing/>
        <w:jc w:val="both"/>
        <w:rPr>
          <w:rFonts w:ascii="PT Astra Serif" w:hAnsi="PT Astra Serif"/>
        </w:rPr>
      </w:pPr>
      <w:r>
        <w:rPr>
          <w:rFonts w:ascii="PT Astra Serif" w:hAnsi="PT Astra Serif"/>
        </w:rPr>
        <w:t>В случае действия обстоятельств непреодолимой силы и их последствий свыше одного месяца, Стороны имеют право отказаться от дальнейшего выполнения взятых на себя обязательств и расторгнуть Договор, предварительно уведомив другую Сторону не позднее, чем за 1 месяц до даты расторжения Договора.</w:t>
      </w:r>
    </w:p>
    <w:p>
      <w:pPr>
        <w:pStyle w:val="ListParagraph"/>
        <w:numPr>
          <w:ilvl w:val="1"/>
          <w:numId w:val="1"/>
        </w:numPr>
        <w:spacing w:lineRule="auto" w:line="240" w:before="0" w:after="0"/>
        <w:ind w:left="0" w:firstLine="709"/>
        <w:contextualSpacing/>
        <w:jc w:val="both"/>
        <w:rPr>
          <w:rFonts w:ascii="PT Astra Serif" w:hAnsi="PT Astra Serif"/>
        </w:rPr>
      </w:pPr>
      <w:r>
        <w:rPr>
          <w:rFonts w:ascii="PT Astra Serif" w:hAnsi="PT Astra Serif"/>
        </w:rPr>
        <w:t>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трех дней.</w:t>
      </w:r>
    </w:p>
    <w:p>
      <w:pPr>
        <w:pStyle w:val="ListParagraph"/>
        <w:spacing w:lineRule="auto" w:line="240" w:before="0" w:after="0"/>
        <w:ind w:left="709" w:hanging="0"/>
        <w:contextualSpacing/>
        <w:jc w:val="both"/>
        <w:rPr>
          <w:rFonts w:ascii="PT Astra Serif" w:hAnsi="PT Astra Serif"/>
        </w:rPr>
      </w:pPr>
      <w:r>
        <w:rPr>
          <w:rFonts w:ascii="PT Astra Serif" w:hAnsi="PT Astra Serif"/>
        </w:rPr>
      </w:r>
    </w:p>
    <w:p>
      <w:pPr>
        <w:pStyle w:val="Normal"/>
        <w:numPr>
          <w:ilvl w:val="0"/>
          <w:numId w:val="1"/>
        </w:numPr>
        <w:spacing w:lineRule="auto" w:line="240" w:before="0" w:after="0"/>
        <w:ind w:left="720" w:hanging="0"/>
        <w:contextualSpacing/>
        <w:jc w:val="center"/>
        <w:rPr>
          <w:rFonts w:ascii="PT Astra Serif" w:hAnsi="PT Astra Serif"/>
        </w:rPr>
      </w:pPr>
      <w:r>
        <w:rPr>
          <w:rFonts w:cs="PT Astra Serif" w:ascii="PT Astra Serif" w:hAnsi="PT Astra Serif"/>
          <w:b/>
          <w:bCs/>
        </w:rPr>
        <w:t>ПРАВА «СТОРОН» И ДОПОЛНИТЕЛЬНЫЕ УСЛОВИЯ.</w:t>
      </w:r>
    </w:p>
    <w:p>
      <w:pPr>
        <w:pStyle w:val="Normal"/>
        <w:numPr>
          <w:ilvl w:val="1"/>
          <w:numId w:val="1"/>
        </w:numPr>
        <w:tabs>
          <w:tab w:val="clear" w:pos="709"/>
          <w:tab w:val="left" w:pos="480" w:leader="none"/>
        </w:tabs>
        <w:spacing w:lineRule="auto" w:line="240" w:before="0" w:after="0"/>
        <w:ind w:left="0" w:firstLine="720"/>
        <w:jc w:val="both"/>
        <w:rPr/>
      </w:pPr>
      <w:r>
        <w:rPr>
          <w:rFonts w:cs="PT Astra Serif" w:ascii="PT Astra Serif" w:hAnsi="PT Astra Serif"/>
        </w:rPr>
        <w:t xml:space="preserve">По соглашению «Сторон» и при наличии соответствующего предложения «Заказчика», объем оказываемых «Исполнителем» услуг, предусмотренный п. 1.2. настоящего Договора, может быть увеличен либо уменьшен, путем внесения изменений в </w:t>
      </w:r>
      <w:r>
        <w:rPr>
          <w:rFonts w:cs="PT Astra Serif" w:ascii="PT Astra Serif" w:hAnsi="PT Astra Serif"/>
          <w:spacing w:val="1"/>
        </w:rPr>
        <w:t xml:space="preserve">Перечне платных услуг на мониторинг Объектов, передаваемых под наблюдение </w:t>
      </w:r>
      <w:r>
        <w:rPr>
          <w:rFonts w:cs="PT Astra Serif" w:ascii="PT Astra Serif" w:hAnsi="PT Astra Serif"/>
          <w:color w:val="000000"/>
          <w:spacing w:val="1"/>
        </w:rPr>
        <w:t>(Приложение № 1</w:t>
      </w:r>
      <w:r>
        <w:rPr>
          <w:rFonts w:cs="PT Astra Serif" w:ascii="PT Astra Serif" w:hAnsi="PT Astra Serif"/>
        </w:rPr>
        <w:t>), который является неотъемлемой частью настоящего Договора. При этом «Заказчик» обязан уведомить «Исполнителя» о намерении внести изменения в письменной форме не менее чем за 15 (пятнадцать) дней.</w:t>
      </w:r>
    </w:p>
    <w:p>
      <w:pPr>
        <w:pStyle w:val="Normal"/>
        <w:numPr>
          <w:ilvl w:val="1"/>
          <w:numId w:val="1"/>
        </w:numPr>
        <w:tabs>
          <w:tab w:val="clear" w:pos="709"/>
          <w:tab w:val="left" w:pos="480" w:leader="none"/>
        </w:tabs>
        <w:spacing w:lineRule="auto" w:line="240" w:before="0" w:after="0"/>
        <w:ind w:left="0" w:firstLine="720"/>
        <w:jc w:val="both"/>
        <w:rPr>
          <w:rFonts w:ascii="PT Astra Serif" w:hAnsi="PT Astra Serif" w:cs="PT Astra Serif"/>
        </w:rPr>
      </w:pPr>
      <w:r>
        <w:rPr>
          <w:rFonts w:cs="PT Astra Serif" w:ascii="PT Astra Serif" w:hAnsi="PT Astra Serif"/>
        </w:rPr>
        <w:t>«Исполнитель» вправе отказаться от принятия под мониторинг дополнительных Объектов при отсутствии технических возможностей.</w:t>
      </w:r>
    </w:p>
    <w:p>
      <w:pPr>
        <w:pStyle w:val="Normal"/>
        <w:numPr>
          <w:ilvl w:val="1"/>
          <w:numId w:val="1"/>
        </w:numPr>
        <w:shd w:val="clear" w:color="auto" w:fill="FFFFFF"/>
        <w:tabs>
          <w:tab w:val="clear" w:pos="709"/>
          <w:tab w:val="left" w:pos="480" w:leader="none"/>
        </w:tabs>
        <w:spacing w:lineRule="auto" w:line="240" w:before="0" w:after="0"/>
        <w:ind w:left="0" w:firstLine="720"/>
        <w:contextualSpacing/>
        <w:jc w:val="both"/>
        <w:rPr>
          <w:rFonts w:ascii="PT Astra Serif" w:hAnsi="PT Astra Serif" w:cs="PT Astra Serif"/>
        </w:rPr>
      </w:pPr>
      <w:r>
        <w:rPr>
          <w:rFonts w:cs="PT Astra Serif" w:ascii="PT Astra Serif" w:hAnsi="PT Astra Serif"/>
        </w:rPr>
        <w:t>«Исполнитель» вправе расторгнуть настоящий Договор в одностороннем порядке в случае возникновения спора о праве собственности и управления имуществом, находящимся во владении «Заказчика» и являющимся Объектом наблюдения «Исполнителя» с письменным уведомлением «Заказчика» за 10 (десять) дней до даты расторжения.</w:t>
      </w:r>
    </w:p>
    <w:p>
      <w:pPr>
        <w:pStyle w:val="ListParagraph"/>
        <w:spacing w:lineRule="auto" w:line="240" w:before="0" w:after="0"/>
        <w:ind w:left="709" w:hanging="0"/>
        <w:contextualSpacing/>
        <w:jc w:val="both"/>
        <w:rPr>
          <w:rFonts w:ascii="PT Astra Serif" w:hAnsi="PT Astra Serif"/>
        </w:rPr>
      </w:pPr>
      <w:r>
        <w:rPr>
          <w:rFonts w:ascii="PT Astra Serif" w:hAnsi="PT Astra Serif"/>
        </w:rPr>
      </w:r>
    </w:p>
    <w:p>
      <w:pPr>
        <w:pStyle w:val="ListParagraph"/>
        <w:numPr>
          <w:ilvl w:val="0"/>
          <w:numId w:val="1"/>
        </w:numPr>
        <w:spacing w:lineRule="auto" w:line="240" w:before="0" w:after="0"/>
        <w:ind w:left="0" w:hanging="0"/>
        <w:contextualSpacing/>
        <w:jc w:val="center"/>
        <w:rPr>
          <w:rFonts w:ascii="PT Astra Serif" w:hAnsi="PT Astra Serif"/>
        </w:rPr>
      </w:pPr>
      <w:r>
        <w:rPr>
          <w:rFonts w:cs="PT Astra Serif" w:ascii="PT Astra Serif" w:hAnsi="PT Astra Serif"/>
          <w:b/>
          <w:bCs/>
          <w:spacing w:val="2"/>
          <w:lang w:eastAsia="ar-SA"/>
        </w:rPr>
        <w:t>УСЛОВИЯ КОНФИДЕНЦИАЛЬНОСТИ</w:t>
      </w:r>
      <w:r>
        <w:rPr>
          <w:rFonts w:ascii="PT Astra Serif" w:hAnsi="PT Astra Serif"/>
          <w:b/>
          <w:bCs/>
        </w:rPr>
        <w:t>.</w:t>
      </w:r>
    </w:p>
    <w:p>
      <w:pPr>
        <w:pStyle w:val="ListParagraph"/>
        <w:numPr>
          <w:ilvl w:val="1"/>
          <w:numId w:val="1"/>
        </w:numPr>
        <w:spacing w:lineRule="auto" w:line="240" w:before="0" w:after="0"/>
        <w:ind w:left="0" w:firstLine="709"/>
        <w:contextualSpacing/>
        <w:jc w:val="both"/>
        <w:rPr>
          <w:rFonts w:ascii="PT Astra Serif" w:hAnsi="PT Astra Serif"/>
        </w:rPr>
      </w:pPr>
      <w:r>
        <w:rPr>
          <w:rFonts w:ascii="PT Astra Serif" w:hAnsi="PT Astra Serif"/>
        </w:rPr>
        <w:t xml:space="preserve"> </w:t>
      </w:r>
      <w:r>
        <w:rPr>
          <w:rFonts w:cs="PT Astra Serif" w:ascii="PT Astra Serif" w:hAnsi="PT Astra Serif"/>
          <w:spacing w:val="2"/>
        </w:rPr>
        <w:t>Оказание Услуг, предусмотренных настоящим Договором, осуществляется с соблюдением требований Федерального закона «О коммерческой тайне» (№ 98-ФЗ от 29.07.2004), Федерального закона «О персональных данных» (№ 152-ФЗ от 27.07.2006) и иных нормативных актов в данной области.</w:t>
      </w:r>
    </w:p>
    <w:p>
      <w:pPr>
        <w:pStyle w:val="ListParagraph"/>
        <w:numPr>
          <w:ilvl w:val="1"/>
          <w:numId w:val="1"/>
        </w:numPr>
        <w:spacing w:lineRule="auto" w:line="240" w:before="0" w:after="0"/>
        <w:ind w:left="0" w:firstLine="709"/>
        <w:contextualSpacing/>
        <w:jc w:val="both"/>
        <w:rPr>
          <w:rFonts w:ascii="PT Astra Serif" w:hAnsi="PT Astra Serif"/>
        </w:rPr>
      </w:pPr>
      <w:r>
        <w:rPr>
          <w:rFonts w:cs="PT Astra Serif" w:ascii="PT Astra Serif" w:hAnsi="PT Astra Serif"/>
        </w:rPr>
        <w:t>«Стороны» обязуются обеспечивать соблюдение условий защиты любой, полученной</w:t>
      </w:r>
      <w:r>
        <w:rPr>
          <w:rFonts w:cs="PT Astra Serif" w:ascii="PT Astra Serif" w:hAnsi="PT Astra Serif"/>
          <w:spacing w:val="2"/>
        </w:rPr>
        <w:t xml:space="preserve"> от другой «Стороны» информации, не допускать её открытого опубликования, разглашения и передачи без письменного согласия «Стороны», являющейся владельцем информации, третьим лицам и не использовать во вред друг другу.</w:t>
      </w:r>
    </w:p>
    <w:p>
      <w:pPr>
        <w:pStyle w:val="ListParagraph"/>
        <w:spacing w:lineRule="auto" w:line="240" w:before="0" w:after="0"/>
        <w:ind w:left="0" w:firstLine="709"/>
        <w:contextualSpacing/>
        <w:jc w:val="both"/>
        <w:rPr>
          <w:rFonts w:ascii="PT Astra Serif" w:hAnsi="PT Astra Serif"/>
        </w:rPr>
      </w:pPr>
      <w:r>
        <w:rPr>
          <w:rFonts w:ascii="PT Astra Serif" w:hAnsi="PT Astra Serif"/>
        </w:rPr>
      </w:r>
    </w:p>
    <w:p>
      <w:pPr>
        <w:pStyle w:val="Normal"/>
        <w:numPr>
          <w:ilvl w:val="0"/>
          <w:numId w:val="1"/>
        </w:numPr>
        <w:tabs>
          <w:tab w:val="clear" w:pos="709"/>
          <w:tab w:val="left" w:pos="3040" w:leader="none"/>
        </w:tabs>
        <w:spacing w:lineRule="auto" w:line="240"/>
        <w:ind w:left="0" w:hanging="0"/>
        <w:jc w:val="center"/>
        <w:rPr>
          <w:b/>
          <w:b/>
          <w:bCs/>
        </w:rPr>
      </w:pPr>
      <w:r>
        <w:rPr>
          <w:rFonts w:cs="PT Astra Serif" w:ascii="PT Astra Serif" w:hAnsi="PT Astra Serif"/>
          <w:b/>
          <w:bCs/>
          <w:color w:val="000000"/>
          <w:spacing w:val="2"/>
        </w:rPr>
        <w:t xml:space="preserve">СРОК ДЕЙСТВИЯ ДОГОВОРА </w:t>
      </w:r>
      <w:bookmarkStart w:id="0" w:name="bookmark8"/>
      <w:r>
        <w:rPr>
          <w:rFonts w:cs="PT Astra Serif" w:ascii="PT Astra Serif" w:hAnsi="PT Astra Serif"/>
          <w:b/>
          <w:bCs/>
          <w:color w:val="000000"/>
          <w:spacing w:val="2"/>
        </w:rPr>
        <w:t>ОСНОВАНИЯ ИЗМЕНЕНИЯ И РАСТОРЖЕНИЯ ДОГОВОРА</w:t>
      </w:r>
      <w:bookmarkEnd w:id="0"/>
      <w:r>
        <w:rPr>
          <w:rFonts w:cs="PT Astra Serif" w:ascii="PT Astra Serif" w:hAnsi="PT Astra Serif"/>
          <w:b/>
          <w:bCs/>
          <w:color w:val="000000"/>
          <w:spacing w:val="2"/>
        </w:rPr>
        <w:t>.</w:t>
      </w:r>
    </w:p>
    <w:p>
      <w:pPr>
        <w:pStyle w:val="Normal"/>
        <w:tabs>
          <w:tab w:val="clear" w:pos="709"/>
          <w:tab w:val="left" w:pos="506" w:leader="none"/>
        </w:tabs>
        <w:spacing w:lineRule="auto" w:line="240" w:before="0" w:after="0"/>
        <w:jc w:val="both"/>
        <w:rPr/>
      </w:pPr>
      <w:r>
        <w:rPr>
          <w:rFonts w:cs="PT Astra Serif" w:ascii="PT Astra Serif" w:hAnsi="PT Astra Serif"/>
          <w:spacing w:val="2"/>
        </w:rPr>
        <w:tab/>
        <w:t>9.1. Настоящий Договор вступает в силу момента подписания сторонами и распространяет свое действие на правоотношения, возникшие с «01» января 202</w:t>
      </w:r>
      <w:r>
        <w:rPr>
          <w:rFonts w:eastAsia="Times New Roman" w:cs="PT Astra Serif" w:ascii="PT Astra Serif" w:hAnsi="PT Astra Serif"/>
          <w:spacing w:val="2"/>
          <w:lang w:eastAsia="zh-CN"/>
        </w:rPr>
        <w:t>5</w:t>
      </w:r>
      <w:r>
        <w:rPr>
          <w:rFonts w:cs="PT Astra Serif" w:ascii="PT Astra Serif" w:hAnsi="PT Astra Serif"/>
          <w:spacing w:val="2"/>
        </w:rPr>
        <w:t xml:space="preserve"> года и действует по «31» декабря 202</w:t>
      </w:r>
      <w:r>
        <w:rPr>
          <w:rFonts w:eastAsia="Times New Roman" w:cs="PT Astra Serif" w:ascii="PT Astra Serif" w:hAnsi="PT Astra Serif"/>
          <w:spacing w:val="2"/>
          <w:lang w:eastAsia="zh-CN"/>
        </w:rPr>
        <w:t>5</w:t>
      </w:r>
      <w:r>
        <w:rPr>
          <w:rFonts w:cs="PT Astra Serif" w:ascii="PT Astra Serif" w:hAnsi="PT Astra Serif"/>
          <w:spacing w:val="2"/>
        </w:rPr>
        <w:t xml:space="preserve"> года включительно</w:t>
      </w:r>
      <w:r>
        <w:rPr>
          <w:rFonts w:cs="PT Astra Serif" w:ascii="PT Astra Serif" w:hAnsi="PT Astra Serif"/>
          <w:b/>
          <w:spacing w:val="2"/>
        </w:rPr>
        <w:t>.</w:t>
      </w:r>
    </w:p>
    <w:p>
      <w:pPr>
        <w:pStyle w:val="Normal"/>
        <w:tabs>
          <w:tab w:val="clear" w:pos="709"/>
          <w:tab w:val="left" w:pos="506" w:leader="none"/>
        </w:tabs>
        <w:spacing w:lineRule="auto" w:line="240" w:before="0" w:after="0"/>
        <w:jc w:val="both"/>
        <w:rPr>
          <w:rFonts w:ascii="PT Astra Serif" w:hAnsi="PT Astra Serif" w:cs="PT Astra Serif"/>
          <w:color w:val="000000"/>
          <w:spacing w:val="2"/>
        </w:rPr>
      </w:pPr>
      <w:r>
        <w:rPr>
          <w:rFonts w:cs="PT Astra Serif" w:ascii="PT Astra Serif" w:hAnsi="PT Astra Serif"/>
          <w:color w:val="000000"/>
          <w:spacing w:val="2"/>
        </w:rPr>
        <w:tab/>
        <w:t>9.2. Расторжение Договора до истечения срока его действия возможно по соглашению «Сторон», при этом заинтересованная «Сторона» обязана предупредить другую «Сторону» не менее чем за 30 (тридцать) дней до даты расторжения.</w:t>
      </w:r>
    </w:p>
    <w:p>
      <w:pPr>
        <w:pStyle w:val="Normal"/>
        <w:tabs>
          <w:tab w:val="clear" w:pos="709"/>
          <w:tab w:val="left" w:pos="506" w:leader="none"/>
        </w:tabs>
        <w:spacing w:lineRule="auto" w:line="240" w:before="0" w:after="0"/>
        <w:jc w:val="both"/>
        <w:rPr/>
      </w:pPr>
      <w:r>
        <w:rPr>
          <w:rFonts w:cs="PT Astra Serif" w:ascii="PT Astra Serif" w:hAnsi="PT Astra Serif"/>
          <w:color w:val="000000"/>
          <w:spacing w:val="-2"/>
        </w:rPr>
        <w:tab/>
        <w:t>9.3. «Заказчик» имеет право в одностороннем порядке расторгнуть настоящий Договор,</w:t>
      </w:r>
      <w:r>
        <w:rPr>
          <w:rFonts w:cs="PT Astra Serif" w:ascii="PT Astra Serif" w:hAnsi="PT Astra Serif"/>
          <w:color w:val="000000"/>
          <w:spacing w:val="2"/>
        </w:rPr>
        <w:t xml:space="preserve"> уведомив об этом «Исполнителя» не менее чем за 10 (десять) дней до даты расторжения.</w:t>
      </w:r>
    </w:p>
    <w:p>
      <w:pPr>
        <w:pStyle w:val="Normal"/>
        <w:tabs>
          <w:tab w:val="clear" w:pos="709"/>
          <w:tab w:val="left" w:pos="506" w:leader="none"/>
        </w:tabs>
        <w:spacing w:lineRule="auto" w:line="240" w:before="0" w:after="0"/>
        <w:jc w:val="both"/>
        <w:rPr>
          <w:rFonts w:ascii="PT Astra Serif" w:hAnsi="PT Astra Serif" w:cs="PT Astra Serif"/>
          <w:color w:val="000000"/>
          <w:spacing w:val="2"/>
        </w:rPr>
      </w:pPr>
      <w:r>
        <w:rPr>
          <w:rFonts w:cs="PT Astra Serif" w:ascii="PT Astra Serif" w:hAnsi="PT Astra Serif"/>
          <w:color w:val="000000"/>
          <w:spacing w:val="2"/>
        </w:rPr>
        <w:tab/>
        <w:t>9.4. «Исполнитель» вправе временно приостановить предоставление услуг по настоящему Договору в случае 10 (десяти) дневной просрочки «Заказчиком» оплаты услуг «Исполнителя» или расторгнуть Договор, письменно предупредив «Заказчика» за 10 (десять) рабочих дней до даты расторжения.</w:t>
      </w:r>
    </w:p>
    <w:p>
      <w:pPr>
        <w:pStyle w:val="Normal"/>
        <w:tabs>
          <w:tab w:val="clear" w:pos="709"/>
          <w:tab w:val="left" w:pos="506" w:leader="none"/>
        </w:tabs>
        <w:spacing w:lineRule="auto" w:line="240" w:before="0" w:after="0"/>
        <w:jc w:val="both"/>
        <w:rPr>
          <w:rFonts w:ascii="PT Astra Serif" w:hAnsi="PT Astra Serif" w:cs="PT Astra Serif"/>
          <w:color w:val="000000"/>
          <w:spacing w:val="2"/>
        </w:rPr>
      </w:pPr>
      <w:r>
        <w:rPr>
          <w:rFonts w:cs="PT Astra Serif" w:ascii="PT Astra Serif" w:hAnsi="PT Astra Serif"/>
          <w:color w:val="000000"/>
          <w:spacing w:val="2"/>
        </w:rPr>
        <w:tab/>
        <w:t xml:space="preserve">9.5. По всем вопросам, не урегулированным настоящим Договором, «Стороны» руководствуются действующим законодательством Российской Федерации. </w:t>
      </w:r>
    </w:p>
    <w:p>
      <w:pPr>
        <w:pStyle w:val="Normal"/>
        <w:tabs>
          <w:tab w:val="clear" w:pos="709"/>
          <w:tab w:val="left" w:pos="506" w:leader="none"/>
        </w:tabs>
        <w:spacing w:lineRule="auto" w:line="240" w:before="0" w:after="0"/>
        <w:jc w:val="both"/>
        <w:rPr>
          <w:rFonts w:ascii="PT Astra Serif" w:hAnsi="PT Astra Serif" w:cs="PT Astra Serif"/>
          <w:color w:val="000000"/>
          <w:spacing w:val="2"/>
        </w:rPr>
      </w:pPr>
      <w:r>
        <w:rPr>
          <w:rFonts w:cs="PT Astra Serif" w:ascii="PT Astra Serif" w:hAnsi="PT Astra Serif"/>
          <w:color w:val="000000"/>
          <w:spacing w:val="2"/>
        </w:rPr>
        <w:tab/>
        <w:t xml:space="preserve">9.6. Все споры и разногласия, которые могут возникнуть между «Сторонами» по настоящему Договору, будут по возможности разрешаться путем проведения переговоров между «Сторонами» с соблюдением претензионного порядка рассмотрения споров. Срок рассмотрения претензий – 30 (тридцать) календарных дней с даты их получения. </w:t>
      </w:r>
    </w:p>
    <w:p>
      <w:pPr>
        <w:pStyle w:val="Normal"/>
        <w:tabs>
          <w:tab w:val="clear" w:pos="709"/>
          <w:tab w:val="left" w:pos="506" w:leader="none"/>
        </w:tabs>
        <w:spacing w:lineRule="auto" w:line="240" w:before="0" w:after="0"/>
        <w:jc w:val="both"/>
        <w:rPr>
          <w:rFonts w:ascii="PT Astra Serif" w:hAnsi="PT Astra Serif" w:cs="PT Astra Serif"/>
          <w:spacing w:val="2"/>
        </w:rPr>
      </w:pPr>
      <w:r>
        <w:rPr>
          <w:rFonts w:cs="PT Astra Serif" w:ascii="PT Astra Serif" w:hAnsi="PT Astra Serif"/>
          <w:spacing w:val="2"/>
        </w:rPr>
        <w:tab/>
        <w:t>9.7. В случае недостижения соглашения путём переговоров, все споры, разногласия или требования, возникающие из настоящего Договора или в связи с ним, в том числе касающиеся его исполнения, нарушения, прекращения или недействительности, подлежат разрешению в арбитражном суде Сахалинской области в порядке, предусмотренном действующим законодательством Российской Федерации.</w:t>
      </w:r>
    </w:p>
    <w:p>
      <w:pPr>
        <w:pStyle w:val="Normal"/>
        <w:tabs>
          <w:tab w:val="clear" w:pos="709"/>
          <w:tab w:val="left" w:pos="506" w:leader="none"/>
        </w:tabs>
        <w:spacing w:lineRule="auto" w:line="240" w:before="0" w:after="0"/>
        <w:jc w:val="both"/>
        <w:rPr>
          <w:rFonts w:ascii="PT Astra Serif" w:hAnsi="PT Astra Serif" w:cs="PT Astra Serif"/>
          <w:color w:val="000000"/>
          <w:spacing w:val="4"/>
        </w:rPr>
      </w:pPr>
      <w:r>
        <w:rPr>
          <w:rFonts w:cs="PT Astra Serif" w:ascii="PT Astra Serif" w:hAnsi="PT Astra Serif"/>
          <w:color w:val="000000"/>
          <w:spacing w:val="4"/>
        </w:rPr>
        <w:tab/>
        <w:t>9.8. Все изменения и дополнения к настоящему Договору совершаются «Сторонами» по взаимному согласию, оформляются в письменной форме в виде дополнительных соглашений, подписываются уполномоченными лицами «Сторон» и являются неотъемлемой его частью.</w:t>
      </w:r>
    </w:p>
    <w:p>
      <w:pPr>
        <w:pStyle w:val="Normal"/>
        <w:tabs>
          <w:tab w:val="clear" w:pos="709"/>
          <w:tab w:val="left" w:pos="0" w:leader="none"/>
        </w:tabs>
        <w:spacing w:lineRule="auto" w:line="240" w:before="0" w:after="0"/>
        <w:contextualSpacing/>
        <w:jc w:val="both"/>
        <w:rPr>
          <w:rFonts w:ascii="PT Astra Serif" w:hAnsi="PT Astra Serif" w:cs="PT Astra Serif"/>
          <w:color w:val="000000"/>
          <w:spacing w:val="2"/>
        </w:rPr>
      </w:pPr>
      <w:r>
        <w:rPr>
          <w:rFonts w:cs="PT Astra Serif" w:ascii="PT Astra Serif" w:hAnsi="PT Astra Serif"/>
          <w:color w:val="000000"/>
          <w:spacing w:val="2"/>
        </w:rPr>
        <w:tab/>
        <w:t>9.9. Договор составлен в двух экземплярах, имеющих одинаковую юридическую силу, по одному экземпляру для каждой из «Сторон».</w:t>
      </w:r>
    </w:p>
    <w:p>
      <w:pPr>
        <w:pStyle w:val="ListParagraph"/>
        <w:spacing w:lineRule="auto" w:line="240" w:before="0" w:after="0"/>
        <w:ind w:left="0" w:firstLine="709"/>
        <w:contextualSpacing/>
        <w:jc w:val="both"/>
        <w:rPr>
          <w:rFonts w:ascii="PT Astra Serif" w:hAnsi="PT Astra Serif"/>
        </w:rPr>
      </w:pPr>
      <w:r>
        <w:rPr>
          <w:rFonts w:ascii="PT Astra Serif" w:hAnsi="PT Astra Serif"/>
        </w:rPr>
      </w:r>
    </w:p>
    <w:p>
      <w:pPr>
        <w:pStyle w:val="ListParagraph"/>
        <w:numPr>
          <w:ilvl w:val="0"/>
          <w:numId w:val="1"/>
        </w:numPr>
        <w:spacing w:lineRule="auto" w:line="240" w:before="0" w:after="0"/>
        <w:ind w:left="0" w:firstLine="709"/>
        <w:contextualSpacing/>
        <w:jc w:val="center"/>
        <w:rPr>
          <w:rFonts w:ascii="PT Astra Serif" w:hAnsi="PT Astra Serif"/>
        </w:rPr>
      </w:pPr>
      <w:r>
        <w:rPr>
          <w:rFonts w:ascii="PT Astra Serif" w:hAnsi="PT Astra Serif"/>
          <w:b/>
        </w:rPr>
        <w:t xml:space="preserve">Юридические адреса и фактическое местонахождение Сторон, </w:t>
      </w:r>
    </w:p>
    <w:p>
      <w:pPr>
        <w:pStyle w:val="ListParagraph"/>
        <w:spacing w:lineRule="auto" w:line="240" w:before="0" w:after="0"/>
        <w:ind w:left="0" w:firstLine="709"/>
        <w:contextualSpacing/>
        <w:jc w:val="center"/>
        <w:rPr>
          <w:rFonts w:ascii="PT Astra Serif" w:hAnsi="PT Astra Serif"/>
        </w:rPr>
      </w:pPr>
      <w:r>
        <w:rPr>
          <w:rFonts w:ascii="PT Astra Serif" w:hAnsi="PT Astra Serif"/>
          <w:b/>
        </w:rPr>
        <w:t>их банковские реквизиты.</w:t>
      </w:r>
    </w:p>
    <w:p>
      <w:pPr>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701" w:right="851" w:header="278" w:top="1134" w:footer="181" w:bottom="1134" w:gutter="0"/>
          <w:pgNumType w:fmt="decimal"/>
          <w:formProt w:val="false"/>
          <w:titlePg/>
          <w:textDirection w:val="lrTb"/>
          <w:docGrid w:type="default" w:linePitch="360" w:charSpace="0"/>
        </w:sectPr>
      </w:pPr>
    </w:p>
    <w:tbl>
      <w:tblPr>
        <w:tblW w:w="9606" w:type="dxa"/>
        <w:jc w:val="left"/>
        <w:tblInd w:w="0" w:type="dxa"/>
        <w:tblCellMar>
          <w:top w:w="0" w:type="dxa"/>
          <w:left w:w="108" w:type="dxa"/>
          <w:bottom w:w="0" w:type="dxa"/>
          <w:right w:w="108" w:type="dxa"/>
        </w:tblCellMar>
        <w:tblLook w:val="04a0" w:noHBand="0" w:noVBand="1" w:firstColumn="1" w:lastRow="0" w:lastColumn="0" w:firstRow="1"/>
      </w:tblPr>
      <w:tblGrid>
        <w:gridCol w:w="4803"/>
        <w:gridCol w:w="4802"/>
      </w:tblGrid>
      <w:tr>
        <w:trPr/>
        <w:tc>
          <w:tcPr>
            <w:tcW w:w="4803" w:type="dxa"/>
            <w:tcBorders/>
            <w:shd w:color="auto" w:fill="auto" w:val="clear"/>
          </w:tcPr>
          <w:p>
            <w:pPr>
              <w:pStyle w:val="Normal"/>
              <w:spacing w:lineRule="auto" w:line="240" w:before="0" w:after="0"/>
              <w:ind w:left="720" w:right="120" w:hanging="0"/>
              <w:contextualSpacing/>
              <w:rPr>
                <w:rFonts w:ascii="PT Astra Serif" w:hAnsi="PT Astra Serif"/>
              </w:rPr>
            </w:pPr>
            <w:r>
              <w:rPr>
                <w:rFonts w:ascii="PT Astra Serif" w:hAnsi="PT Astra Serif"/>
                <w:b/>
              </w:rPr>
              <w:t>Исполнитель:</w:t>
            </w:r>
          </w:p>
          <w:p>
            <w:pPr>
              <w:pStyle w:val="Normal"/>
              <w:spacing w:lineRule="auto" w:line="240" w:before="0" w:after="0"/>
              <w:ind w:left="720" w:right="120" w:hanging="0"/>
              <w:contextualSpacing/>
              <w:rPr>
                <w:rFonts w:ascii="PT Astra Serif" w:hAnsi="PT Astra Serif"/>
                <w:b/>
                <w:b/>
              </w:rPr>
            </w:pPr>
            <w:r>
              <w:rPr>
                <w:rFonts w:ascii="PT Astra Serif" w:hAnsi="PT Astra Serif"/>
                <w:b/>
              </w:rPr>
            </w:r>
          </w:p>
          <w:p>
            <w:pPr>
              <w:pStyle w:val="Normal"/>
              <w:spacing w:lineRule="auto" w:line="240" w:before="0" w:after="0"/>
              <w:ind w:right="120" w:hanging="0"/>
              <w:contextualSpacing/>
              <w:rPr>
                <w:rFonts w:ascii="PT Astra Serif" w:hAnsi="PT Astra Serif"/>
              </w:rPr>
            </w:pPr>
            <w:r>
              <w:rPr>
                <w:rFonts w:ascii="PT Astra Serif" w:hAnsi="PT Astra Serif"/>
                <w:b/>
              </w:rPr>
              <w:t>Федеральное государственное казенное учреждение «Отдел вневедомственной охраны войск национальной гвардии Российской Федерации по Сахалинской области».</w:t>
            </w:r>
          </w:p>
          <w:p>
            <w:pPr>
              <w:pStyle w:val="Normal"/>
              <w:spacing w:lineRule="auto" w:line="240" w:before="0" w:after="0"/>
              <w:ind w:right="120" w:hanging="0"/>
              <w:contextualSpacing/>
              <w:rPr>
                <w:rFonts w:ascii="PT Astra Serif" w:hAnsi="PT Astra Serif"/>
                <w:b/>
                <w:b/>
                <w:lang w:eastAsia="zh-CN"/>
              </w:rPr>
            </w:pPr>
            <w:r>
              <w:rPr>
                <w:rFonts w:ascii="PT Astra Serif" w:hAnsi="PT Astra Serif"/>
                <w:b/>
                <w:lang w:eastAsia="zh-CN"/>
              </w:rPr>
            </w:r>
          </w:p>
          <w:p>
            <w:pPr>
              <w:pStyle w:val="Normal"/>
              <w:spacing w:lineRule="auto" w:line="240" w:before="0" w:after="0"/>
              <w:ind w:right="120" w:hanging="0"/>
              <w:contextualSpacing/>
              <w:rPr>
                <w:rFonts w:ascii="PT Astra Serif" w:hAnsi="PT Astra Serif"/>
              </w:rPr>
            </w:pPr>
            <w:r>
              <w:rPr>
                <w:rFonts w:ascii="PT Astra Serif" w:hAnsi="PT Astra Serif"/>
                <w:b/>
              </w:rPr>
              <w:t>Юридический адрес:</w:t>
            </w:r>
          </w:p>
          <w:p>
            <w:pPr>
              <w:pStyle w:val="Normal"/>
              <w:spacing w:lineRule="auto" w:line="240" w:before="0" w:after="0"/>
              <w:ind w:right="120" w:hanging="0"/>
              <w:contextualSpacing/>
              <w:rPr>
                <w:rFonts w:ascii="PT Astra Serif" w:hAnsi="PT Astra Serif"/>
              </w:rPr>
            </w:pPr>
            <w:r>
              <w:rPr>
                <w:rFonts w:ascii="PT Astra Serif" w:hAnsi="PT Astra Serif"/>
              </w:rPr>
              <w:t xml:space="preserve">693020, Сахалинская область, г. Южно-Сахалинск, ул. Ленина, 149. </w:t>
            </w:r>
          </w:p>
          <w:p>
            <w:pPr>
              <w:pStyle w:val="ListParagraph"/>
              <w:spacing w:lineRule="auto" w:line="240" w:before="0" w:after="0"/>
              <w:ind w:left="0" w:right="120" w:hanging="0"/>
              <w:contextualSpacing/>
              <w:rPr>
                <w:rFonts w:ascii="PT Astra Serif" w:hAnsi="PT Astra Serif"/>
              </w:rPr>
            </w:pPr>
            <w:r>
              <w:rPr>
                <w:rFonts w:ascii="PT Astra Serif" w:hAnsi="PT Astra Serif"/>
                <w:b/>
              </w:rPr>
              <w:t>Почтовый адрес:</w:t>
            </w:r>
          </w:p>
          <w:p>
            <w:pPr>
              <w:pStyle w:val="Normal"/>
              <w:spacing w:lineRule="auto" w:line="240" w:before="0" w:after="0"/>
              <w:ind w:right="120" w:hanging="0"/>
              <w:contextualSpacing/>
              <w:rPr>
                <w:rFonts w:ascii="PT Astra Serif" w:hAnsi="PT Astra Serif"/>
              </w:rPr>
            </w:pPr>
            <w:r>
              <w:rPr>
                <w:rFonts w:ascii="PT Astra Serif" w:hAnsi="PT Astra Serif"/>
              </w:rPr>
              <w:t xml:space="preserve">693020, Сахалинская область, г. Южно-Сахалинск, ул. Ленина, 149. </w:t>
            </w:r>
          </w:p>
          <w:p>
            <w:pPr>
              <w:pStyle w:val="ListParagraph"/>
              <w:spacing w:lineRule="auto" w:line="240" w:before="0" w:after="0"/>
              <w:ind w:left="0" w:right="120" w:hanging="0"/>
              <w:contextualSpacing/>
              <w:rPr>
                <w:rFonts w:ascii="PT Astra Serif" w:hAnsi="PT Astra Serif"/>
              </w:rPr>
            </w:pPr>
            <w:r>
              <w:rPr>
                <w:rFonts w:ascii="PT Astra Serif" w:hAnsi="PT Astra Serif"/>
                <w:b/>
              </w:rPr>
              <w:t>Банковские реквизиты:</w:t>
            </w:r>
          </w:p>
          <w:p>
            <w:pPr>
              <w:pStyle w:val="ListParagraph"/>
              <w:spacing w:lineRule="auto" w:line="240" w:before="0" w:after="0"/>
              <w:ind w:left="0" w:right="120" w:hanging="0"/>
              <w:contextualSpacing/>
              <w:rPr>
                <w:rFonts w:ascii="PT Astra Serif" w:hAnsi="PT Astra Serif"/>
              </w:rPr>
            </w:pPr>
            <w:r>
              <w:rPr>
                <w:rFonts w:ascii="PT Astra Serif" w:hAnsi="PT Astra Serif"/>
              </w:rPr>
              <w:t xml:space="preserve">УФК по Сахалинской области (ФГКУ «ОВО ВНГ России по Сахалинской области» </w:t>
            </w:r>
          </w:p>
          <w:p>
            <w:pPr>
              <w:pStyle w:val="ListParagraph"/>
              <w:spacing w:lineRule="auto" w:line="240" w:before="0" w:after="0"/>
              <w:ind w:left="0" w:right="120" w:hanging="0"/>
              <w:contextualSpacing/>
              <w:rPr>
                <w:rFonts w:ascii="PT Astra Serif" w:hAnsi="PT Astra Serif"/>
              </w:rPr>
            </w:pPr>
            <w:r>
              <w:rPr>
                <w:rFonts w:ascii="PT Astra Serif" w:hAnsi="PT Astra Serif"/>
              </w:rPr>
              <w:t>л/с 04611</w:t>
            </w:r>
            <w:r>
              <w:rPr>
                <w:rFonts w:ascii="PT Astra Serif" w:hAnsi="PT Astra Serif"/>
                <w:lang w:val="en-US"/>
              </w:rPr>
              <w:t>D</w:t>
            </w:r>
            <w:r>
              <w:rPr>
                <w:rFonts w:ascii="PT Astra Serif" w:hAnsi="PT Astra Serif"/>
              </w:rPr>
              <w:t xml:space="preserve">13780, </w:t>
            </w:r>
          </w:p>
          <w:p>
            <w:pPr>
              <w:pStyle w:val="ListParagraph"/>
              <w:spacing w:lineRule="auto" w:line="240" w:before="0" w:after="0"/>
              <w:ind w:left="0" w:right="120" w:hanging="0"/>
              <w:contextualSpacing/>
              <w:rPr>
                <w:rFonts w:ascii="PT Astra Serif" w:hAnsi="PT Astra Serif"/>
              </w:rPr>
            </w:pPr>
            <w:r>
              <w:rPr>
                <w:rFonts w:ascii="PT Astra Serif" w:hAnsi="PT Astra Serif"/>
              </w:rPr>
              <w:t>Счет 40102810845370000053</w:t>
            </w:r>
          </w:p>
          <w:p>
            <w:pPr>
              <w:pStyle w:val="ListParagraph"/>
              <w:spacing w:lineRule="auto" w:line="240" w:before="0" w:after="0"/>
              <w:ind w:left="0" w:right="120" w:hanging="0"/>
              <w:contextualSpacing/>
              <w:rPr>
                <w:rFonts w:ascii="PT Astra Serif" w:hAnsi="PT Astra Serif"/>
              </w:rPr>
            </w:pPr>
            <w:r>
              <w:rPr>
                <w:rFonts w:ascii="PT Astra Serif" w:hAnsi="PT Astra Serif"/>
              </w:rPr>
              <w:t>Счет 03100643000000016100</w:t>
            </w:r>
          </w:p>
          <w:p>
            <w:pPr>
              <w:pStyle w:val="ListParagraph"/>
              <w:spacing w:lineRule="auto" w:line="240" w:before="0" w:after="0"/>
              <w:ind w:left="0" w:right="120" w:hanging="0"/>
              <w:contextualSpacing/>
              <w:rPr>
                <w:rFonts w:ascii="PT Astra Serif" w:hAnsi="PT Astra Serif"/>
              </w:rPr>
            </w:pPr>
            <w:r>
              <w:rPr>
                <w:rFonts w:ascii="PT Astra Serif" w:hAnsi="PT Astra Serif"/>
              </w:rPr>
              <w:t xml:space="preserve">Отделение Южно-Сахалинск//УФК по Сахалинской области г. Южно-Сахалинск, </w:t>
            </w:r>
          </w:p>
          <w:p>
            <w:pPr>
              <w:pStyle w:val="ListParagraph"/>
              <w:spacing w:lineRule="auto" w:line="240" w:before="0" w:after="0"/>
              <w:ind w:left="0" w:right="120" w:hanging="0"/>
              <w:contextualSpacing/>
              <w:rPr>
                <w:rFonts w:ascii="PT Astra Serif" w:hAnsi="PT Astra Serif"/>
              </w:rPr>
            </w:pPr>
            <w:r>
              <w:rPr>
                <w:rFonts w:ascii="PT Astra Serif" w:hAnsi="PT Astra Serif"/>
              </w:rPr>
              <w:t>ИНН 6501249046,</w:t>
            </w:r>
          </w:p>
          <w:p>
            <w:pPr>
              <w:pStyle w:val="ListParagraph"/>
              <w:spacing w:lineRule="auto" w:line="240" w:before="0" w:after="0"/>
              <w:ind w:left="0" w:right="120" w:hanging="0"/>
              <w:contextualSpacing/>
              <w:rPr>
                <w:rFonts w:ascii="PT Astra Serif" w:hAnsi="PT Astra Serif"/>
              </w:rPr>
            </w:pPr>
            <w:r>
              <w:rPr>
                <w:rFonts w:ascii="PT Astra Serif" w:hAnsi="PT Astra Serif"/>
              </w:rPr>
              <w:t>КПП 650101001,</w:t>
            </w:r>
          </w:p>
          <w:p>
            <w:pPr>
              <w:pStyle w:val="ListParagraph"/>
              <w:spacing w:lineRule="auto" w:line="240" w:before="0" w:after="0"/>
              <w:ind w:left="0" w:right="120" w:hanging="0"/>
              <w:contextualSpacing/>
              <w:rPr>
                <w:rFonts w:ascii="PT Astra Serif" w:hAnsi="PT Astra Serif"/>
              </w:rPr>
            </w:pPr>
            <w:r>
              <w:rPr>
                <w:rFonts w:ascii="PT Astra Serif" w:hAnsi="PT Astra Serif"/>
              </w:rPr>
              <w:t>БИК 016401800,</w:t>
            </w:r>
          </w:p>
          <w:p>
            <w:pPr>
              <w:pStyle w:val="ListParagraph"/>
              <w:spacing w:lineRule="auto" w:line="240" w:before="0" w:after="0"/>
              <w:ind w:left="0" w:right="120" w:hanging="0"/>
              <w:contextualSpacing/>
              <w:rPr>
                <w:rFonts w:ascii="PT Astra Serif" w:hAnsi="PT Astra Serif"/>
              </w:rPr>
            </w:pPr>
            <w:r>
              <w:rPr>
                <w:rFonts w:ascii="PT Astra Serif" w:hAnsi="PT Astra Serif"/>
              </w:rPr>
              <w:t>КБК 18011301081017000130,</w:t>
            </w:r>
          </w:p>
          <w:p>
            <w:pPr>
              <w:pStyle w:val="ListParagraph"/>
              <w:spacing w:lineRule="auto" w:line="240" w:before="0" w:after="0"/>
              <w:ind w:left="0" w:right="120" w:hanging="0"/>
              <w:contextualSpacing/>
              <w:rPr>
                <w:rFonts w:ascii="PT Astra Serif" w:hAnsi="PT Astra Serif"/>
              </w:rPr>
            </w:pPr>
            <w:r>
              <w:rPr>
                <w:rFonts w:ascii="PT Astra Serif" w:hAnsi="PT Astra Serif"/>
              </w:rPr>
              <w:t>ОКТМО 64740000,</w:t>
            </w:r>
          </w:p>
          <w:p>
            <w:pPr>
              <w:pStyle w:val="ListParagraph"/>
              <w:spacing w:lineRule="auto" w:line="240" w:before="0" w:after="0"/>
              <w:ind w:left="0" w:right="120" w:hanging="0"/>
              <w:contextualSpacing/>
              <w:rPr>
                <w:rFonts w:ascii="PT Astra Serif" w:hAnsi="PT Astra Serif"/>
                <w:lang w:val="en-US"/>
              </w:rPr>
            </w:pPr>
            <w:r>
              <w:rPr>
                <w:rFonts w:ascii="PT Astra Serif" w:hAnsi="PT Astra Serif"/>
              </w:rPr>
              <w:t>ОГРН</w:t>
            </w:r>
            <w:r>
              <w:rPr>
                <w:rFonts w:ascii="PT Astra Serif" w:hAnsi="PT Astra Serif"/>
                <w:lang w:val="en-US"/>
              </w:rPr>
              <w:t xml:space="preserve"> 1126501005564.</w:t>
            </w:r>
          </w:p>
          <w:p>
            <w:pPr>
              <w:pStyle w:val="ListParagraph"/>
              <w:spacing w:lineRule="auto" w:line="240" w:before="0" w:after="0"/>
              <w:ind w:left="0" w:right="120" w:hanging="0"/>
              <w:contextualSpacing/>
              <w:rPr>
                <w:lang w:val="en-US"/>
              </w:rPr>
            </w:pPr>
            <w:r>
              <w:rPr/>
            </w:r>
          </w:p>
          <w:p>
            <w:pPr>
              <w:pStyle w:val="Normal"/>
              <w:spacing w:lineRule="auto" w:line="240" w:before="0" w:after="0"/>
              <w:ind w:left="720" w:right="120" w:hanging="0"/>
              <w:contextualSpacing/>
              <w:rPr>
                <w:rFonts w:ascii="PT Astra Serif" w:hAnsi="PT Astra Serif"/>
              </w:rPr>
            </w:pPr>
            <w:r>
              <w:rPr>
                <w:rFonts w:ascii="PT Astra Serif" w:hAnsi="PT Astra Serif"/>
              </w:rPr>
            </w:r>
          </w:p>
          <w:p>
            <w:pPr>
              <w:pStyle w:val="Normal"/>
              <w:spacing w:lineRule="auto" w:line="240" w:before="0" w:after="0"/>
              <w:ind w:left="720" w:right="120" w:hanging="0"/>
              <w:contextualSpacing/>
              <w:rPr>
                <w:rFonts w:ascii="PT Astra Serif" w:hAnsi="PT Astra Serif"/>
              </w:rPr>
            </w:pPr>
            <w:r>
              <w:rPr>
                <w:rFonts w:ascii="PT Astra Serif" w:hAnsi="PT Astra Serif"/>
                <w:b/>
              </w:rPr>
              <w:t>Подписи Сторон:</w:t>
            </w:r>
          </w:p>
          <w:p>
            <w:pPr>
              <w:pStyle w:val="ListParagraph"/>
              <w:spacing w:lineRule="auto" w:line="240" w:before="0" w:after="0"/>
              <w:ind w:left="0" w:right="120" w:hanging="0"/>
              <w:contextualSpacing/>
              <w:rPr>
                <w:rFonts w:ascii="PT Astra Serif" w:hAnsi="PT Astra Serif"/>
                <w:b/>
                <w:b/>
                <w:u w:val="single"/>
              </w:rPr>
            </w:pPr>
            <w:r>
              <w:rPr>
                <w:rFonts w:ascii="PT Astra Serif" w:hAnsi="PT Astra Serif"/>
                <w:b/>
                <w:u w:val="single"/>
              </w:rPr>
            </w:r>
          </w:p>
          <w:p>
            <w:pPr>
              <w:pStyle w:val="ListParagraph"/>
              <w:spacing w:lineRule="auto" w:line="240" w:before="0" w:after="0"/>
              <w:ind w:left="0" w:right="120" w:hanging="0"/>
              <w:contextualSpacing/>
              <w:rPr>
                <w:rFonts w:ascii="PT Astra Serif" w:hAnsi="PT Astra Serif"/>
              </w:rPr>
            </w:pPr>
            <w:r>
              <w:rPr>
                <w:rFonts w:ascii="PT Astra Serif" w:hAnsi="PT Astra Serif"/>
                <w:b/>
              </w:rPr>
              <w:t xml:space="preserve">Начальник </w:t>
            </w:r>
          </w:p>
          <w:p>
            <w:pPr>
              <w:pStyle w:val="ListParagraph"/>
              <w:spacing w:lineRule="auto" w:line="240" w:before="0" w:after="0"/>
              <w:ind w:left="0" w:right="120" w:hanging="0"/>
              <w:contextualSpacing/>
              <w:rPr>
                <w:rFonts w:ascii="PT Astra Serif" w:hAnsi="PT Astra Serif"/>
              </w:rPr>
            </w:pPr>
            <w:r>
              <w:rPr>
                <w:rFonts w:ascii="PT Astra Serif" w:hAnsi="PT Astra Serif"/>
                <w:b/>
              </w:rPr>
              <w:t xml:space="preserve"> </w:t>
            </w:r>
            <w:r>
              <w:rPr>
                <w:rFonts w:ascii="PT Astra Serif" w:hAnsi="PT Astra Serif"/>
                <w:b/>
              </w:rPr>
              <w:t xml:space="preserve">ФГКУ «ОВО ВНГ России </w:t>
            </w:r>
          </w:p>
          <w:p>
            <w:pPr>
              <w:pStyle w:val="ListParagraph"/>
              <w:spacing w:lineRule="auto" w:line="240" w:before="0" w:after="0"/>
              <w:ind w:left="0" w:right="120" w:hanging="0"/>
              <w:contextualSpacing/>
              <w:rPr>
                <w:rFonts w:ascii="PT Astra Serif" w:hAnsi="PT Astra Serif"/>
              </w:rPr>
            </w:pPr>
            <w:r>
              <w:rPr>
                <w:rFonts w:ascii="PT Astra Serif" w:hAnsi="PT Astra Serif"/>
                <w:b/>
              </w:rPr>
              <w:t>по Сахалинской области»</w:t>
            </w:r>
          </w:p>
          <w:p>
            <w:pPr>
              <w:pStyle w:val="ListParagraph"/>
              <w:spacing w:lineRule="auto" w:line="240" w:before="0" w:after="0"/>
              <w:ind w:left="0" w:right="120" w:hanging="0"/>
              <w:contextualSpacing/>
              <w:rPr>
                <w:rFonts w:ascii="PT Astra Serif" w:hAnsi="PT Astra Serif"/>
                <w:b/>
                <w:b/>
              </w:rPr>
            </w:pPr>
            <w:r>
              <w:rPr>
                <w:rFonts w:ascii="PT Astra Serif" w:hAnsi="PT Astra Serif"/>
                <w:b/>
              </w:rPr>
            </w:r>
          </w:p>
          <w:p>
            <w:pPr>
              <w:pStyle w:val="ListParagraph"/>
              <w:spacing w:lineRule="auto" w:line="240" w:before="0" w:after="0"/>
              <w:ind w:left="0" w:right="120" w:hanging="0"/>
              <w:contextualSpacing/>
              <w:rPr>
                <w:rFonts w:ascii="PT Astra Serif" w:hAnsi="PT Astra Serif"/>
              </w:rPr>
            </w:pPr>
            <w:r>
              <w:rPr>
                <w:rFonts w:ascii="PT Astra Serif" w:hAnsi="PT Astra Serif"/>
                <w:b/>
                <w:u w:val="single"/>
              </w:rPr>
              <w:t xml:space="preserve">                                         </w:t>
            </w:r>
            <w:r>
              <w:rPr>
                <w:rFonts w:ascii="PT Astra Serif" w:hAnsi="PT Astra Serif"/>
                <w:b/>
              </w:rPr>
              <w:t>/</w:t>
            </w:r>
            <w:r>
              <w:rPr>
                <w:rFonts w:eastAsia="Calibri" w:cs="Times New Roman" w:ascii="PT Astra Serif" w:hAnsi="PT Astra Serif"/>
                <w:b/>
                <w:color w:val="auto"/>
                <w:kern w:val="0"/>
                <w:sz w:val="22"/>
                <w:szCs w:val="22"/>
                <w:lang w:val="ru-RU" w:eastAsia="en-US" w:bidi="ar-SA"/>
              </w:rPr>
              <w:t>Ю.В. Стрижаченко</w:t>
            </w:r>
            <w:r>
              <w:rPr>
                <w:rFonts w:ascii="PT Astra Serif" w:hAnsi="PT Astra Serif"/>
                <w:b/>
              </w:rPr>
              <w:t>/</w:t>
            </w:r>
          </w:p>
          <w:p>
            <w:pPr>
              <w:pStyle w:val="ListParagraph"/>
              <w:spacing w:lineRule="auto" w:line="240" w:before="0" w:after="0"/>
              <w:ind w:left="0" w:right="120" w:hanging="0"/>
              <w:contextualSpacing/>
              <w:rPr>
                <w:rFonts w:ascii="PT Astra Serif" w:hAnsi="PT Astra Serif"/>
              </w:rPr>
            </w:pPr>
            <w:r>
              <w:rPr>
                <w:rFonts w:ascii="PT Astra Serif" w:hAnsi="PT Astra Serif"/>
                <w:b/>
              </w:rPr>
              <w:t>М.П.</w:t>
            </w:r>
          </w:p>
        </w:tc>
        <w:tc>
          <w:tcPr>
            <w:tcW w:w="4802" w:type="dxa"/>
            <w:tcBorders/>
            <w:shd w:color="auto" w:fill="auto" w:val="clear"/>
          </w:tcPr>
          <w:p>
            <w:pPr>
              <w:pStyle w:val="Normal"/>
              <w:spacing w:lineRule="auto" w:line="240" w:before="0" w:after="0"/>
              <w:ind w:left="95" w:right="34" w:hanging="0"/>
              <w:contextualSpacing/>
              <w:rPr>
                <w:rFonts w:ascii="PT Astra Serif" w:hAnsi="PT Astra Serif"/>
              </w:rPr>
            </w:pPr>
            <w:r>
              <w:rPr>
                <w:rFonts w:ascii="PT Astra Serif" w:hAnsi="PT Astra Serif"/>
                <w:b/>
              </w:rPr>
              <w:t>Заказчик:</w:t>
            </w:r>
          </w:p>
          <w:p>
            <w:pPr>
              <w:pStyle w:val="Normal"/>
              <w:spacing w:lineRule="auto" w:line="240" w:before="0" w:after="0"/>
              <w:ind w:left="95" w:right="34" w:hanging="0"/>
              <w:contextualSpacing/>
              <w:rPr>
                <w:rFonts w:ascii="PT Astra Serif" w:hAnsi="PT Astra Serif"/>
                <w:b/>
                <w:b/>
              </w:rPr>
            </w:pPr>
            <w:r>
              <w:rPr>
                <w:rFonts w:ascii="PT Astra Serif" w:hAnsi="PT Astra Serif"/>
                <w:b/>
              </w:rPr>
            </w:r>
          </w:p>
          <w:p>
            <w:pPr>
              <w:pStyle w:val="ListParagraph"/>
              <w:spacing w:lineRule="auto" w:line="240" w:before="0" w:after="0"/>
              <w:ind w:left="34" w:hanging="0"/>
              <w:contextualSpacing/>
              <w:rPr>
                <w:rFonts w:ascii="PT Astra Serif" w:hAnsi="PT Astra Serif"/>
              </w:rPr>
            </w:pPr>
            <w:r>
              <w:rPr>
                <w:rFonts w:ascii="PT Astra Serif" w:hAnsi="PT Astra Serif"/>
                <w:color w:val="000000" w:themeColor="text1"/>
              </w:rPr>
              <w:t>……………………</w:t>
            </w:r>
            <w:r>
              <w:rPr>
                <w:rFonts w:ascii="PT Astra Serif" w:hAnsi="PT Astra Serif"/>
                <w:b/>
                <w:color w:val="000000" w:themeColor="text1"/>
              </w:rPr>
              <w:t>..</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120" w:hanging="0"/>
              <w:contextualSpacing/>
              <w:rPr>
                <w:rFonts w:ascii="PT Astra Serif" w:hAnsi="PT Astra Serif"/>
              </w:rPr>
            </w:pPr>
            <w:r>
              <w:rPr>
                <w:rFonts w:ascii="PT Astra Serif" w:hAnsi="PT Astra Serif"/>
                <w:b/>
                <w:color w:val="000000" w:themeColor="text1"/>
              </w:rPr>
              <w:t>Юридический адрес:</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t>…………………………</w:t>
            </w:r>
            <w:r>
              <w:rPr>
                <w:rFonts w:ascii="PT Astra Serif" w:hAnsi="PT Astra Serif"/>
                <w:color w:val="000000" w:themeColor="text1"/>
              </w:rPr>
              <w:t>.</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ListParagraph"/>
              <w:spacing w:lineRule="auto" w:line="240" w:before="0" w:after="0"/>
              <w:ind w:left="0" w:right="120" w:hanging="0"/>
              <w:contextualSpacing/>
              <w:rPr>
                <w:rFonts w:ascii="PT Astra Serif" w:hAnsi="PT Astra Serif"/>
              </w:rPr>
            </w:pPr>
            <w:r>
              <w:rPr>
                <w:rFonts w:ascii="PT Astra Serif" w:hAnsi="PT Astra Serif"/>
                <w:b/>
                <w:color w:val="000000" w:themeColor="text1"/>
              </w:rPr>
              <w:t>Почтовый адрес:</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t>………………………………</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ListParagraph"/>
              <w:spacing w:lineRule="auto" w:line="240" w:before="0" w:after="0"/>
              <w:ind w:left="0" w:right="120" w:hanging="0"/>
              <w:contextualSpacing/>
              <w:rPr>
                <w:rFonts w:ascii="PT Astra Serif" w:hAnsi="PT Astra Serif"/>
              </w:rPr>
            </w:pPr>
            <w:r>
              <w:rPr>
                <w:rFonts w:ascii="PT Astra Serif" w:hAnsi="PT Astra Serif"/>
                <w:b/>
                <w:color w:val="000000" w:themeColor="text1"/>
              </w:rPr>
              <w:t>Банковские реквизиты:</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t>……………………………</w:t>
            </w:r>
            <w:r>
              <w:rPr>
                <w:rFonts w:ascii="PT Astra Serif" w:hAnsi="PT Astra Serif"/>
                <w:color w:val="000000" w:themeColor="text1"/>
              </w:rPr>
              <w:t>.</w:t>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Normal"/>
              <w:spacing w:lineRule="auto" w:line="240" w:before="0" w:after="0"/>
              <w:ind w:right="34" w:hanging="0"/>
              <w:contextualSpacing/>
              <w:rPr>
                <w:rFonts w:ascii="PT Astra Serif" w:hAnsi="PT Astra Serif"/>
                <w:color w:val="000000" w:themeColor="text1"/>
              </w:rPr>
            </w:pPr>
            <w:r>
              <w:rPr>
                <w:rFonts w:ascii="PT Astra Serif" w:hAnsi="PT Astra Serif"/>
                <w:color w:val="000000" w:themeColor="text1"/>
              </w:rPr>
            </w:r>
          </w:p>
          <w:p>
            <w:pPr>
              <w:pStyle w:val="ListParagraph"/>
              <w:spacing w:lineRule="auto" w:line="240" w:before="0" w:after="0"/>
              <w:ind w:left="95" w:right="34" w:hanging="0"/>
              <w:contextualSpacing/>
              <w:rPr>
                <w:rFonts w:ascii="PT Astra Serif" w:hAnsi="PT Astra Serif"/>
              </w:rPr>
            </w:pPr>
            <w:r>
              <w:rPr>
                <w:rFonts w:ascii="PT Astra Serif" w:hAnsi="PT Astra Serif"/>
                <w:b/>
                <w:color w:val="000000" w:themeColor="text1"/>
              </w:rPr>
              <w:t>………………</w:t>
            </w:r>
            <w:r>
              <w:rPr>
                <w:rFonts w:ascii="PT Astra Serif" w:hAnsi="PT Astra Serif"/>
                <w:b/>
                <w:color w:val="000000" w:themeColor="text1"/>
              </w:rPr>
              <w:t>..</w:t>
            </w:r>
          </w:p>
          <w:p>
            <w:pPr>
              <w:pStyle w:val="ListParagraph"/>
              <w:spacing w:lineRule="auto" w:line="240" w:before="0" w:after="0"/>
              <w:ind w:left="95" w:right="34" w:hanging="0"/>
              <w:contextualSpacing/>
              <w:rPr>
                <w:rFonts w:ascii="PT Astra Serif" w:hAnsi="PT Astra Serif"/>
                <w:b/>
                <w:b/>
              </w:rPr>
            </w:pPr>
            <w:r>
              <w:rPr>
                <w:rFonts w:ascii="PT Astra Serif" w:hAnsi="PT Astra Serif"/>
                <w:b/>
              </w:rPr>
            </w:r>
          </w:p>
          <w:p>
            <w:pPr>
              <w:pStyle w:val="Normal"/>
              <w:spacing w:lineRule="auto" w:line="240" w:before="0" w:after="0"/>
              <w:ind w:left="720" w:right="34" w:hanging="0"/>
              <w:contextualSpacing/>
              <w:rPr>
                <w:rFonts w:ascii="PT Astra Serif" w:hAnsi="PT Astra Serif"/>
                <w:b/>
                <w:b/>
              </w:rPr>
            </w:pPr>
            <w:r>
              <w:rPr>
                <w:rFonts w:ascii="PT Astra Serif" w:hAnsi="PT Astra Serif"/>
                <w:b/>
              </w:rPr>
            </w:r>
          </w:p>
          <w:p>
            <w:pPr>
              <w:pStyle w:val="Normal"/>
              <w:spacing w:lineRule="auto" w:line="240" w:before="0" w:after="0"/>
              <w:ind w:left="720" w:right="34" w:hanging="0"/>
              <w:contextualSpacing/>
              <w:rPr>
                <w:rFonts w:ascii="PT Astra Serif" w:hAnsi="PT Astra Serif"/>
                <w:b/>
                <w:b/>
              </w:rPr>
            </w:pPr>
            <w:r>
              <w:rPr>
                <w:rFonts w:ascii="PT Astra Serif" w:hAnsi="PT Astra Serif"/>
                <w:b/>
              </w:rPr>
            </w:r>
          </w:p>
          <w:p>
            <w:pPr>
              <w:pStyle w:val="ListParagraph"/>
              <w:spacing w:lineRule="auto" w:line="240" w:before="0" w:after="0"/>
              <w:ind w:left="95" w:right="34" w:hanging="0"/>
              <w:contextualSpacing/>
              <w:rPr>
                <w:rFonts w:ascii="PT Astra Serif" w:hAnsi="PT Astra Serif"/>
              </w:rPr>
            </w:pPr>
            <w:r>
              <w:rPr>
                <w:rFonts w:ascii="PT Astra Serif" w:hAnsi="PT Astra Serif"/>
                <w:b/>
                <w:u w:val="single"/>
              </w:rPr>
              <w:t xml:space="preserve">                                               </w:t>
            </w:r>
            <w:r>
              <w:rPr>
                <w:rFonts w:ascii="PT Astra Serif" w:hAnsi="PT Astra Serif"/>
                <w:b/>
              </w:rPr>
              <w:t>/…………………</w:t>
            </w:r>
            <w:r>
              <w:rPr>
                <w:rFonts w:ascii="PT Astra Serif" w:hAnsi="PT Astra Serif"/>
                <w:b/>
                <w:color w:val="000000" w:themeColor="text1"/>
              </w:rPr>
              <w:t>.</w:t>
            </w:r>
            <w:r>
              <w:rPr>
                <w:rFonts w:ascii="PT Astra Serif" w:hAnsi="PT Astra Serif"/>
                <w:b/>
              </w:rPr>
              <w:t>/</w:t>
            </w:r>
          </w:p>
          <w:p>
            <w:pPr>
              <w:pStyle w:val="ListParagraph"/>
              <w:spacing w:lineRule="auto" w:line="240" w:before="0" w:after="0"/>
              <w:ind w:left="95" w:right="34" w:hanging="0"/>
              <w:contextualSpacing/>
              <w:rPr>
                <w:rFonts w:ascii="PT Astra Serif" w:hAnsi="PT Astra Serif"/>
              </w:rPr>
            </w:pPr>
            <w:r>
              <w:rPr>
                <w:rFonts w:ascii="PT Astra Serif" w:hAnsi="PT Astra Serif"/>
                <w:b/>
              </w:rPr>
              <w:t>М.П.</w:t>
            </w:r>
          </w:p>
        </w:tc>
      </w:tr>
    </w:tbl>
    <w:p>
      <w:pPr>
        <w:pStyle w:val="Normal"/>
        <w:spacing w:before="0" w:after="160"/>
        <w:rPr>
          <w:rFonts w:ascii="PT Astra Serif" w:hAnsi="PT Astra Serif"/>
        </w:rPr>
      </w:pPr>
      <w:r>
        <w:rPr/>
      </w:r>
    </w:p>
    <w:sectPr>
      <w:type w:val="continuous"/>
      <w:pgSz w:w="11906" w:h="16838"/>
      <w:pgMar w:left="1701" w:right="851" w:header="278" w:top="1134" w:footer="181" w:bottom="1134" w:gutter="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Segoe UI">
    <w:charset w:val="01"/>
    <w:family w:val="roman"/>
    <w:pitch w:val="default"/>
  </w:font>
  <w:font w:name="PT Astra Serif">
    <w:charset w:val="01"/>
    <w:family w:val="roman"/>
    <w:pitch w:val="default"/>
  </w:font>
  <w:font w:name="PT Sans">
    <w:charset w:val="01"/>
    <w:family w:val="roman"/>
    <w:pitch w:val="default"/>
  </w:font>
  <w:font w:name="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Style w:val="af0"/>
      <w:tblW w:w="9640" w:type="dxa"/>
      <w:jc w:val="left"/>
      <w:tblInd w:w="-142" w:type="dxa"/>
      <w:tblCellMar>
        <w:top w:w="0" w:type="dxa"/>
        <w:left w:w="128" w:type="dxa"/>
        <w:bottom w:w="0" w:type="dxa"/>
        <w:right w:w="108" w:type="dxa"/>
      </w:tblCellMar>
      <w:tblLook w:val="04a0" w:noHBand="0" w:noVBand="1" w:firstColumn="1" w:lastRow="0" w:lastColumn="0" w:firstRow="1"/>
    </w:tblPr>
    <w:tblGrid>
      <w:gridCol w:w="4672"/>
      <w:gridCol w:w="4967"/>
    </w:tblGrid>
    <w:tr>
      <w:trPr/>
      <w:tc>
        <w:tcPr>
          <w:tcW w:w="4672" w:type="dxa"/>
          <w:tcBorders>
            <w:top w:val="nil"/>
            <w:left w:val="nil"/>
            <w:bottom w:val="nil"/>
            <w:right w:val="nil"/>
          </w:tcBorders>
          <w:shd w:color="auto" w:fill="auto" w:val="clear"/>
        </w:tcPr>
        <w:p>
          <w:pPr>
            <w:pStyle w:val="Style26"/>
            <w:tabs>
              <w:tab w:val="left" w:pos="4425" w:leader="none"/>
              <w:tab w:val="center" w:pos="4677" w:leader="none"/>
              <w:tab w:val="right" w:pos="9355" w:leader="none"/>
            </w:tabs>
            <w:ind w:left="30" w:hanging="0"/>
            <w:rPr>
              <w:rFonts w:ascii="Times New Roman" w:hAnsi="Times New Roman"/>
              <w:u w:val="single"/>
            </w:rPr>
          </w:pPr>
          <w:r>
            <w:rPr>
              <w:rFonts w:ascii="Times New Roman" w:hAnsi="Times New Roman"/>
              <w:sz w:val="24"/>
            </w:rPr>
            <w:t>Исполнитель</w:t>
          </w:r>
          <w:r>
            <w:rPr>
              <w:rFonts w:ascii="Times New Roman" w:hAnsi="Times New Roman"/>
              <w:sz w:val="24"/>
              <w:u w:val="single"/>
            </w:rPr>
            <w:t>______________________</w:t>
          </w:r>
        </w:p>
      </w:tc>
      <w:tc>
        <w:tcPr>
          <w:tcW w:w="4967" w:type="dxa"/>
          <w:tcBorders>
            <w:top w:val="nil"/>
            <w:left w:val="nil"/>
            <w:bottom w:val="nil"/>
            <w:right w:val="nil"/>
          </w:tcBorders>
          <w:shd w:color="auto" w:fill="auto" w:val="clear"/>
        </w:tcPr>
        <w:p>
          <w:pPr>
            <w:pStyle w:val="Style26"/>
            <w:tabs>
              <w:tab w:val="clear" w:pos="4677"/>
              <w:tab w:val="clear" w:pos="9355"/>
            </w:tabs>
            <w:jc w:val="right"/>
            <w:rPr/>
          </w:pPr>
          <w:r>
            <w:rPr>
              <w:rFonts w:ascii="Times New Roman" w:hAnsi="Times New Roman"/>
              <w:sz w:val="24"/>
            </w:rPr>
            <w:t>Заказчик</w:t>
          </w:r>
          <w:r>
            <w:rPr>
              <w:rFonts w:ascii="Times New Roman" w:hAnsi="Times New Roman"/>
              <w:sz w:val="24"/>
              <w:u w:val="single"/>
            </w:rPr>
            <w:t>______________________</w:t>
          </w:r>
        </w:p>
      </w:tc>
    </w:tr>
  </w:tbl>
  <w:p>
    <w:pPr>
      <w:pStyle w:val="Style26"/>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Style w:val="af0"/>
      <w:tblW w:w="9640" w:type="dxa"/>
      <w:jc w:val="left"/>
      <w:tblInd w:w="-142" w:type="dxa"/>
      <w:tblCellMar>
        <w:top w:w="0" w:type="dxa"/>
        <w:left w:w="128" w:type="dxa"/>
        <w:bottom w:w="0" w:type="dxa"/>
        <w:right w:w="108" w:type="dxa"/>
      </w:tblCellMar>
      <w:tblLook w:val="04a0" w:noHBand="0" w:noVBand="1" w:firstColumn="1" w:lastRow="0" w:lastColumn="0" w:firstRow="1"/>
    </w:tblPr>
    <w:tblGrid>
      <w:gridCol w:w="4672"/>
      <w:gridCol w:w="4967"/>
    </w:tblGrid>
    <w:tr>
      <w:trPr/>
      <w:tc>
        <w:tcPr>
          <w:tcW w:w="4672" w:type="dxa"/>
          <w:tcBorders>
            <w:top w:val="nil"/>
            <w:left w:val="nil"/>
            <w:bottom w:val="nil"/>
            <w:right w:val="nil"/>
          </w:tcBorders>
          <w:shd w:color="auto" w:fill="auto" w:val="clear"/>
        </w:tcPr>
        <w:p>
          <w:pPr>
            <w:pStyle w:val="Style26"/>
            <w:tabs>
              <w:tab w:val="left" w:pos="4425" w:leader="none"/>
              <w:tab w:val="center" w:pos="4677" w:leader="none"/>
              <w:tab w:val="right" w:pos="9355" w:leader="none"/>
            </w:tabs>
            <w:ind w:left="30" w:hanging="0"/>
            <w:rPr>
              <w:rFonts w:ascii="Times New Roman" w:hAnsi="Times New Roman"/>
              <w:u w:val="single"/>
            </w:rPr>
          </w:pPr>
          <w:r>
            <w:rPr>
              <w:rFonts w:ascii="Times New Roman" w:hAnsi="Times New Roman"/>
              <w:sz w:val="24"/>
            </w:rPr>
            <w:t>Исполнитель</w:t>
          </w:r>
          <w:r>
            <w:rPr>
              <w:rFonts w:ascii="Times New Roman" w:hAnsi="Times New Roman"/>
              <w:sz w:val="24"/>
              <w:u w:val="single"/>
            </w:rPr>
            <w:t>______________________</w:t>
          </w:r>
        </w:p>
      </w:tc>
      <w:tc>
        <w:tcPr>
          <w:tcW w:w="4967" w:type="dxa"/>
          <w:tcBorders>
            <w:top w:val="nil"/>
            <w:left w:val="nil"/>
            <w:bottom w:val="nil"/>
            <w:right w:val="nil"/>
          </w:tcBorders>
          <w:shd w:color="auto" w:fill="auto" w:val="clear"/>
        </w:tcPr>
        <w:p>
          <w:pPr>
            <w:pStyle w:val="Style26"/>
            <w:tabs>
              <w:tab w:val="clear" w:pos="4677"/>
              <w:tab w:val="clear" w:pos="9355"/>
            </w:tabs>
            <w:jc w:val="right"/>
            <w:rPr/>
          </w:pPr>
          <w:r>
            <w:rPr>
              <w:rFonts w:ascii="Times New Roman" w:hAnsi="Times New Roman"/>
              <w:sz w:val="24"/>
            </w:rPr>
            <w:t>Заказчик</w:t>
          </w:r>
          <w:r>
            <w:rPr>
              <w:rFonts w:ascii="Times New Roman" w:hAnsi="Times New Roman"/>
              <w:sz w:val="24"/>
              <w:u w:val="single"/>
            </w:rPr>
            <w:t>______________________</w:t>
          </w:r>
        </w:p>
      </w:tc>
    </w:tr>
  </w:tbl>
  <w:p>
    <w:pPr>
      <w:pStyle w:val="Style26"/>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954464677"/>
    </w:sdtPr>
    <w:sdtContent>
      <w:p>
        <w:pPr>
          <w:pStyle w:val="Style25"/>
          <w:jc w:val="center"/>
          <w:rPr/>
        </w:pPr>
        <w:r>
          <w:rPr/>
        </w:r>
      </w:p>
      <w:p>
        <w:pPr>
          <w:pStyle w:val="Style25"/>
          <w:jc w:val="center"/>
          <w:rPr/>
        </w:pPr>
        <w:r>
          <w:rPr>
            <w:rFonts w:ascii="Times New Roman" w:hAnsi="Times New Roman"/>
            <w:sz w:val="24"/>
          </w:rPr>
          <w:fldChar w:fldCharType="begin"/>
        </w:r>
        <w:r>
          <w:rPr>
            <w:sz w:val="24"/>
            <w:rFonts w:ascii="Times New Roman" w:hAnsi="Times New Roman"/>
          </w:rPr>
          <w:instrText> PAGE </w:instrText>
        </w:r>
        <w:r>
          <w:rPr>
            <w:sz w:val="24"/>
            <w:rFonts w:ascii="Times New Roman" w:hAnsi="Times New Roman"/>
          </w:rPr>
          <w:fldChar w:fldCharType="separate"/>
        </w:r>
        <w:r>
          <w:rPr>
            <w:sz w:val="24"/>
            <w:rFonts w:ascii="Times New Roman" w:hAnsi="Times New Roman"/>
          </w:rPr>
          <w:t>4</w:t>
        </w:r>
        <w:r>
          <w:rPr>
            <w:sz w:val="24"/>
            <w:rFonts w:ascii="Times New Roman" w:hAnsi="Times New Roman"/>
          </w:rPr>
          <w:fldChar w:fldCharType="end"/>
        </w:r>
      </w:p>
      <w:p>
        <w:pPr>
          <w:pStyle w:val="Style25"/>
          <w:rPr/>
        </w:pPr>
        <w:r>
          <w:rPr/>
        </w:r>
      </w:p>
    </w:sdtContent>
  </w:sdt>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343845660"/>
    </w:sdtPr>
    <w:sdtContent>
      <w:p>
        <w:pPr>
          <w:pStyle w:val="Style25"/>
          <w:jc w:val="center"/>
          <w:rPr/>
        </w:pPr>
        <w:r>
          <w:rPr/>
        </w:r>
      </w:p>
      <w:p>
        <w:pPr>
          <w:pStyle w:val="Style25"/>
          <w:jc w:val="center"/>
          <w:rPr/>
        </w:pPr>
        <w:r>
          <w:rPr>
            <w:rFonts w:ascii="Times New Roman" w:hAnsi="Times New Roman"/>
            <w:sz w:val="24"/>
          </w:rPr>
          <w:fldChar w:fldCharType="begin"/>
        </w:r>
        <w:r>
          <w:rPr>
            <w:sz w:val="24"/>
            <w:rFonts w:ascii="Times New Roman" w:hAnsi="Times New Roman"/>
          </w:rPr>
          <w:instrText> PAGE </w:instrText>
        </w:r>
        <w:r>
          <w:rPr>
            <w:sz w:val="24"/>
            <w:rFonts w:ascii="Times New Roman" w:hAnsi="Times New Roman"/>
          </w:rPr>
          <w:fldChar w:fldCharType="separate"/>
        </w:r>
        <w:r>
          <w:rPr>
            <w:sz w:val="24"/>
            <w:rFonts w:ascii="Times New Roman" w:hAnsi="Times New Roman"/>
          </w:rPr>
          <w:t>3</w:t>
        </w:r>
        <w:r>
          <w:rPr>
            <w:sz w:val="24"/>
            <w:rFonts w:ascii="Times New Roman" w:hAnsi="Times New Roman"/>
          </w:rPr>
          <w:fldChar w:fldCharType="end"/>
        </w:r>
      </w:p>
    </w:sdtContent>
  </w:sdt>
  <w:p>
    <w:pPr>
      <w:pStyle w:val="Style25"/>
      <w:rPr>
        <w:rFonts w:ascii="Times New Roman" w:hAnsi="Times New Roman"/>
        <w:sz w:val="24"/>
      </w:rPr>
    </w:pPr>
    <w:r>
      <w:rPr>
        <w:rFonts w:ascii="Times New Roman" w:hAnsi="Times New Roman"/>
        <w:sz w:val="24"/>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suff w:val="space"/>
      <w:lvlText w:val="%1."/>
      <w:lvlJc w:val="left"/>
      <w:pPr>
        <w:tabs>
          <w:tab w:val="num" w:pos="0"/>
        </w:tabs>
        <w:ind w:left="1069" w:hanging="360"/>
      </w:pPr>
      <w:rPr>
        <w:sz w:val="24"/>
        <w:b/>
        <w:rFonts w:cs="Times New Roman"/>
      </w:rPr>
    </w:lvl>
    <w:lvl w:ilvl="1">
      <w:start w:val="1"/>
      <w:numFmt w:val="decimal"/>
      <w:suff w:val="space"/>
      <w:lvlText w:val="%1.%2."/>
      <w:lvlJc w:val="left"/>
      <w:pPr>
        <w:tabs>
          <w:tab w:val="num" w:pos="0"/>
        </w:tabs>
        <w:ind w:left="1069" w:hanging="360"/>
      </w:pPr>
      <w:rPr>
        <w:sz w:val="24"/>
        <w:b/>
        <w:rFonts w:cs="Times New Roman"/>
      </w:rPr>
    </w:lvl>
    <w:lvl w:ilvl="2">
      <w:start w:val="1"/>
      <w:numFmt w:val="decimal"/>
      <w:suff w:val="space"/>
      <w:lvlText w:val="%1.%2.%3."/>
      <w:lvlJc w:val="left"/>
      <w:pPr>
        <w:tabs>
          <w:tab w:val="num" w:pos="0"/>
        </w:tabs>
        <w:ind w:left="1429" w:hanging="720"/>
      </w:pPr>
      <w:rPr>
        <w:sz w:val="22"/>
        <w:szCs w:val="22"/>
        <w:rFonts w:cs="Times New Roman"/>
      </w:rPr>
    </w:lvl>
    <w:lvl w:ilvl="3">
      <w:start w:val="1"/>
      <w:numFmt w:val="decimal"/>
      <w:lvlText w:val="%1.%2.%3.%4."/>
      <w:lvlJc w:val="left"/>
      <w:pPr>
        <w:tabs>
          <w:tab w:val="num" w:pos="0"/>
        </w:tabs>
        <w:ind w:left="1429" w:hanging="72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1789" w:hanging="1080"/>
      </w:pPr>
    </w:lvl>
    <w:lvl w:ilvl="6">
      <w:start w:val="1"/>
      <w:numFmt w:val="decimal"/>
      <w:lvlText w:val="%1.%2.%3.%4.%5.%6.%7."/>
      <w:lvlJc w:val="left"/>
      <w:pPr>
        <w:tabs>
          <w:tab w:val="num" w:pos="0"/>
        </w:tabs>
        <w:ind w:left="1789" w:hanging="1080"/>
      </w:pPr>
    </w:lvl>
    <w:lvl w:ilvl="7">
      <w:start w:val="1"/>
      <w:numFmt w:val="decimal"/>
      <w:lvlText w:val="%1.%2.%3.%4.%5.%6.%7.%8."/>
      <w:lvlJc w:val="left"/>
      <w:pPr>
        <w:tabs>
          <w:tab w:val="num" w:pos="0"/>
        </w:tabs>
        <w:ind w:left="2149" w:hanging="1440"/>
      </w:pPr>
    </w:lvl>
    <w:lvl w:ilvl="8">
      <w:start w:val="1"/>
      <w:numFmt w:val="decimal"/>
      <w:lvlText w:val="%1.%2.%3.%4.%5.%6.%7.%8.%9."/>
      <w:lvlJc w:val="left"/>
      <w:pPr>
        <w:tabs>
          <w:tab w:val="num" w:pos="0"/>
        </w:tabs>
        <w:ind w:left="2149" w:hanging="144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mirrorMargins/>
  <w:defaultTabStop w:val="709"/>
  <w:autoHyphenation w:val="true"/>
  <w:evenAndOddHeader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6a22aa"/>
    <w:rPr/>
  </w:style>
  <w:style w:type="character" w:styleId="Style15" w:customStyle="1">
    <w:name w:val="Нижний колонтитул Знак"/>
    <w:basedOn w:val="DefaultParagraphFont"/>
    <w:uiPriority w:val="99"/>
    <w:qFormat/>
    <w:rsid w:val="006a22aa"/>
    <w:rPr/>
  </w:style>
  <w:style w:type="character" w:styleId="Style16" w:customStyle="1">
    <w:name w:val="Интернет-ссылка"/>
    <w:uiPriority w:val="99"/>
    <w:semiHidden/>
    <w:unhideWhenUsed/>
    <w:rsid w:val="005d2238"/>
    <w:rPr>
      <w:color w:val="0000FF"/>
      <w:u w:val="single"/>
    </w:rPr>
  </w:style>
  <w:style w:type="character" w:styleId="Style17" w:customStyle="1">
    <w:name w:val="Текст выноски Знак"/>
    <w:basedOn w:val="DefaultParagraphFont"/>
    <w:uiPriority w:val="99"/>
    <w:semiHidden/>
    <w:qFormat/>
    <w:rsid w:val="00fd19ea"/>
    <w:rPr>
      <w:rFonts w:ascii="Segoe UI" w:hAnsi="Segoe UI" w:cs="Segoe UI"/>
      <w:sz w:val="18"/>
      <w:szCs w:val="18"/>
      <w:lang w:eastAsia="en-US"/>
    </w:rPr>
  </w:style>
  <w:style w:type="character" w:styleId="WW8Num4z0" w:customStyle="1">
    <w:name w:val="WW8Num4z0"/>
    <w:qFormat/>
    <w:rPr>
      <w:color w:val="000000"/>
    </w:rPr>
  </w:style>
  <w:style w:type="character" w:styleId="WW8Num1z0" w:customStyle="1">
    <w:name w:val="WW8Num1z0"/>
    <w:qFormat/>
    <w:rPr>
      <w:color w:val="000000"/>
      <w:sz w:val="24"/>
      <w:szCs w:val="25"/>
    </w:rPr>
  </w:style>
  <w:style w:type="character" w:styleId="WW8Num8z0" w:customStyle="1">
    <w:name w:val="WW8Num8z0"/>
    <w:qFormat/>
    <w:rPr>
      <w:bCs/>
      <w:color w:val="000000"/>
      <w:sz w:val="24"/>
      <w:szCs w:val="25"/>
    </w:rPr>
  </w:style>
  <w:style w:type="character" w:styleId="WW8Num8z2" w:customStyle="1">
    <w:name w:val="WW8Num8z2"/>
    <w:qFormat/>
    <w:rPr>
      <w:b w:val="false"/>
      <w:bCs w:val="false"/>
      <w:sz w:val="24"/>
      <w:szCs w:val="25"/>
    </w:rPr>
  </w:style>
  <w:style w:type="character" w:styleId="WW8Num6z0" w:customStyle="1">
    <w:name w:val="WW8Num6z0"/>
    <w:qFormat/>
    <w:rPr>
      <w:sz w:val="24"/>
      <w:szCs w:val="25"/>
    </w:rPr>
  </w:style>
  <w:style w:type="character" w:styleId="WW8Num7z0" w:customStyle="1">
    <w:name w:val="WW8Num7z0"/>
    <w:qFormat/>
    <w:rPr>
      <w:color w:val="000000"/>
      <w:sz w:val="24"/>
      <w:szCs w:val="25"/>
    </w:rPr>
  </w:style>
  <w:style w:type="character" w:styleId="WW8Num7z1" w:customStyle="1">
    <w:name w:val="WW8Num7z1"/>
    <w:qFormat/>
    <w:rPr>
      <w:bCs/>
      <w:color w:val="000000"/>
      <w:sz w:val="24"/>
      <w:szCs w:val="25"/>
    </w:rPr>
  </w:style>
  <w:style w:type="character" w:styleId="WW8Num5z0" w:customStyle="1">
    <w:name w:val="WW8Num5z0"/>
    <w:qFormat/>
    <w:rPr>
      <w:b/>
      <w:bCs/>
      <w:color w:val="000000"/>
    </w:rPr>
  </w:style>
  <w:style w:type="character" w:styleId="WW8Num5z1" w:customStyle="1">
    <w:name w:val="WW8Num5z1"/>
    <w:qFormat/>
    <w:rPr>
      <w:b w:val="false"/>
      <w:bCs w:val="false"/>
      <w:color w:val="000000"/>
      <w:sz w:val="24"/>
      <w:szCs w:val="25"/>
    </w:rPr>
  </w:style>
  <w:style w:type="paragraph" w:styleId="Style18">
    <w:name w:val="Заголовок"/>
    <w:basedOn w:val="Normal"/>
    <w:next w:val="Style19"/>
    <w:qFormat/>
    <w:pPr>
      <w:keepNext w:val="true"/>
      <w:spacing w:before="240" w:after="120"/>
    </w:pPr>
    <w:rPr>
      <w:rFonts w:ascii="PT Astra Serif" w:hAnsi="PT Astra Serif" w:eastAsia="Tahoma" w:cs="Noto Sans Devanagari"/>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ascii="PT Sans" w:hAnsi="PT Sans" w:cs="Noto Sans Devanagari"/>
    </w:rPr>
  </w:style>
  <w:style w:type="paragraph" w:styleId="Style21">
    <w:name w:val="Caption"/>
    <w:basedOn w:val="Normal"/>
    <w:qFormat/>
    <w:pPr>
      <w:suppressLineNumbers/>
      <w:spacing w:before="120" w:after="120"/>
    </w:pPr>
    <w:rPr>
      <w:rFonts w:ascii="PT Astra Serif" w:hAnsi="PT Astra Serif" w:cs="Noto Sans Devanagari"/>
      <w:i/>
      <w:iCs/>
      <w:sz w:val="24"/>
      <w:szCs w:val="24"/>
    </w:rPr>
  </w:style>
  <w:style w:type="paragraph" w:styleId="Style22">
    <w:name w:val="Указатель"/>
    <w:basedOn w:val="Normal"/>
    <w:qFormat/>
    <w:pPr>
      <w:suppressLineNumbers/>
    </w:pPr>
    <w:rPr>
      <w:rFonts w:ascii="PT Astra Serif" w:hAnsi="PT Astra Serif" w:cs="Noto Sans Devanagari"/>
    </w:rPr>
  </w:style>
  <w:style w:type="paragraph" w:styleId="Style23">
    <w:name w:val="Title"/>
    <w:basedOn w:val="Normal"/>
    <w:next w:val="Style19"/>
    <w:qFormat/>
    <w:pPr>
      <w:keepNext w:val="true"/>
      <w:spacing w:before="240" w:after="120"/>
    </w:pPr>
    <w:rPr>
      <w:rFonts w:ascii="PT Sans" w:hAnsi="PT Sans" w:eastAsia="Tahoma" w:cs="Noto Sans Devanagari"/>
      <w:sz w:val="28"/>
      <w:szCs w:val="28"/>
    </w:rPr>
  </w:style>
  <w:style w:type="paragraph" w:styleId="Caption">
    <w:name w:val="caption"/>
    <w:basedOn w:val="Normal"/>
    <w:qFormat/>
    <w:pPr>
      <w:suppressLineNumbers/>
      <w:spacing w:before="120" w:after="120"/>
    </w:pPr>
    <w:rPr>
      <w:rFonts w:ascii="PT Sans" w:hAnsi="PT Sans" w:cs="Noto Sans Devanagari"/>
      <w:i/>
      <w:iCs/>
      <w:sz w:val="24"/>
      <w:szCs w:val="24"/>
    </w:rPr>
  </w:style>
  <w:style w:type="paragraph" w:styleId="Indexheading">
    <w:name w:val="index heading"/>
    <w:basedOn w:val="Normal"/>
    <w:qFormat/>
    <w:pPr>
      <w:suppressLineNumbers/>
    </w:pPr>
    <w:rPr>
      <w:rFonts w:ascii="PT Sans" w:hAnsi="PT Sans" w:cs="Noto Sans Devanagari"/>
    </w:rPr>
  </w:style>
  <w:style w:type="paragraph" w:styleId="Style24" w:customStyle="1">
    <w:name w:val="Верхний и нижний колонтитулы"/>
    <w:basedOn w:val="Normal"/>
    <w:qFormat/>
    <w:pPr/>
    <w:rPr/>
  </w:style>
  <w:style w:type="paragraph" w:styleId="Style25">
    <w:name w:val="Header"/>
    <w:basedOn w:val="Normal"/>
    <w:uiPriority w:val="99"/>
    <w:unhideWhenUsed/>
    <w:rsid w:val="006a22aa"/>
    <w:pPr>
      <w:tabs>
        <w:tab w:val="clear" w:pos="709"/>
        <w:tab w:val="center" w:pos="4677" w:leader="none"/>
        <w:tab w:val="right" w:pos="9355" w:leader="none"/>
      </w:tabs>
      <w:spacing w:lineRule="auto" w:line="240" w:before="0" w:after="0"/>
    </w:pPr>
    <w:rPr/>
  </w:style>
  <w:style w:type="paragraph" w:styleId="Style26">
    <w:name w:val="Footer"/>
    <w:basedOn w:val="Normal"/>
    <w:uiPriority w:val="99"/>
    <w:unhideWhenUsed/>
    <w:rsid w:val="006a22aa"/>
    <w:pPr>
      <w:tabs>
        <w:tab w:val="clear" w:pos="709"/>
        <w:tab w:val="center" w:pos="4677" w:leader="none"/>
        <w:tab w:val="right" w:pos="9355" w:leader="none"/>
      </w:tabs>
      <w:spacing w:lineRule="auto" w:line="240" w:before="0" w:after="0"/>
    </w:pPr>
    <w:rPr/>
  </w:style>
  <w:style w:type="paragraph" w:styleId="ListParagraph">
    <w:name w:val="List Paragraph"/>
    <w:basedOn w:val="Normal"/>
    <w:qFormat/>
    <w:pPr>
      <w:ind w:left="720" w:hanging="0"/>
    </w:pPr>
    <w:rPr/>
  </w:style>
  <w:style w:type="paragraph" w:styleId="BalloonText">
    <w:name w:val="Balloon Text"/>
    <w:basedOn w:val="Normal"/>
    <w:uiPriority w:val="99"/>
    <w:semiHidden/>
    <w:unhideWhenUsed/>
    <w:qFormat/>
    <w:rsid w:val="00fd19ea"/>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numbering" w:styleId="WW8Num4" w:customStyle="1">
    <w:name w:val="WW8Num4"/>
    <w:qFormat/>
  </w:style>
  <w:style w:type="numbering" w:styleId="WW8Num1" w:customStyle="1">
    <w:name w:val="WW8Num1"/>
    <w:qFormat/>
  </w:style>
  <w:style w:type="numbering" w:styleId="WW8Num8" w:customStyle="1">
    <w:name w:val="WW8Num8"/>
    <w:qFormat/>
  </w:style>
  <w:style w:type="numbering" w:styleId="WW8Num6" w:customStyle="1">
    <w:name w:val="WW8Num6"/>
    <w:qFormat/>
  </w:style>
  <w:style w:type="numbering" w:styleId="WW8Num7" w:customStyle="1">
    <w:name w:val="WW8Num7"/>
    <w:qFormat/>
  </w:style>
  <w:style w:type="numbering" w:styleId="WW8Num5" w:customStyle="1">
    <w:name w:val="WW8Num5"/>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39"/>
    <w:rsid w:val="006a22a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C6FED-0D4A-4F05-8256-AC04DC202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Application>LibreOffice/6.4.7.2$Linux_X86_64 LibreOffice_project/40$Build-2</Application>
  <Pages>6</Pages>
  <Words>2572</Words>
  <Characters>18561</Characters>
  <CharactersWithSpaces>21075</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2017-12-30T01:11:00Z</dcterms:created>
  <dc:creator>Роман Кочетков</dc:creator>
  <dc:description/>
  <dc:language>ru-RU</dc:language>
  <cp:lastModifiedBy/>
  <cp:lastPrinted>2022-11-09T14:09:00Z</cp:lastPrinted>
  <dcterms:modified xsi:type="dcterms:W3CDTF">2025-06-19T12:10:24Z</dcterms:modified>
  <cp:revision>67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